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C75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3EC1D55" wp14:editId="642DF65B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E6CA3" w14:textId="77777777" w:rsidR="00564C7D" w:rsidRPr="00B836B7" w:rsidRDefault="00564C7D">
      <w:pPr>
        <w:spacing w:before="0"/>
        <w:rPr>
          <w:sz w:val="8"/>
        </w:rPr>
      </w:pPr>
    </w:p>
    <w:p w14:paraId="30BA71BF" w14:textId="77777777" w:rsidR="00564C7D" w:rsidRPr="00B836B7" w:rsidRDefault="00564C7D">
      <w:pPr>
        <w:spacing w:before="0"/>
        <w:rPr>
          <w:sz w:val="8"/>
        </w:rPr>
      </w:pPr>
    </w:p>
    <w:p w14:paraId="7BAA7FA1" w14:textId="77777777" w:rsidR="00564C7D" w:rsidRPr="00B836B7" w:rsidRDefault="00564C7D">
      <w:pPr>
        <w:spacing w:before="0"/>
        <w:rPr>
          <w:sz w:val="8"/>
        </w:rPr>
      </w:pPr>
    </w:p>
    <w:p w14:paraId="56EF3C1F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2E25C2F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6E22FAB5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0F758A2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5250EEE7" wp14:editId="05E9F8B3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10055D" w14:textId="77777777" w:rsidR="00B836B7" w:rsidRPr="00AC2984" w:rsidRDefault="00B836B7" w:rsidP="00AC2984">
            <w:pPr>
              <w:spacing w:before="80"/>
            </w:pPr>
          </w:p>
          <w:p w14:paraId="2DAA7157" w14:textId="04DC3284" w:rsidR="00B836B7" w:rsidRPr="00AC2984" w:rsidRDefault="00701284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BF6AA43" wp14:editId="380B666C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4B4E2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7ECAE50D" w14:textId="33FCD09F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5EA2E12" wp14:editId="23F62BD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86896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48C22ABE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5FC1BD7" wp14:editId="23C4C6F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28081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BEEA126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6CA91EBF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2F0D6D77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12D2D3F" w14:textId="2A29A303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701284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D2D9A83" w14:textId="091738DE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785CF1">
              <w:t xml:space="preserve"> </w:t>
            </w:r>
            <w:r w:rsidR="00785CF1">
              <w:br/>
            </w:r>
            <w:r w:rsidR="00785CF1" w:rsidRPr="00785CF1">
              <w:t>Drucksaal Verpackungsdruck</w:t>
            </w:r>
          </w:p>
          <w:p w14:paraId="498D5826" w14:textId="63541D76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785CF1" w:rsidRPr="00785CF1">
              <w:t xml:space="preserve">Umgang mit Druckfarben </w:t>
            </w:r>
            <w:r w:rsidR="00785CF1">
              <w:br/>
            </w:r>
            <w:r w:rsidR="00785CF1" w:rsidRPr="00785CF1">
              <w:t>sowie Reinigungsmitteln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E7B8B5C" w14:textId="77777777" w:rsidR="00B836B7" w:rsidRPr="00AC2984" w:rsidRDefault="00B836B7" w:rsidP="00C9224C">
            <w:pPr>
              <w:spacing w:before="80" w:after="140"/>
            </w:pPr>
          </w:p>
          <w:p w14:paraId="749E354A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746F5529" w14:textId="1188589D" w:rsidR="00D45CA8" w:rsidRPr="00AC2984" w:rsidRDefault="00785CF1" w:rsidP="00C9224C">
            <w:pPr>
              <w:spacing w:before="100"/>
              <w:rPr>
                <w:sz w:val="16"/>
              </w:rPr>
            </w:pPr>
            <w:r w:rsidRPr="00785CF1">
              <w:rPr>
                <w:sz w:val="16"/>
              </w:rPr>
              <w:t>B172</w:t>
            </w:r>
          </w:p>
        </w:tc>
      </w:tr>
      <w:tr w:rsidR="00D45CA8" w:rsidRPr="00AC2984" w14:paraId="3AAFCC1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EF8D27C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4C13321D" w14:textId="77777777" w:rsidTr="00785CF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7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5348D08" w14:textId="7F2BE8DE" w:rsidR="00D45CA8" w:rsidRPr="00E118EC" w:rsidRDefault="00785CF1" w:rsidP="00785CF1">
            <w:pPr>
              <w:pStyle w:val="berschrift3"/>
              <w:jc w:val="left"/>
            </w:pPr>
            <w:r>
              <w:tab/>
            </w:r>
            <w:r>
              <w:tab/>
            </w:r>
            <w:r w:rsidRPr="00785CF1">
              <w:t>Ethylacetat</w:t>
            </w:r>
          </w:p>
        </w:tc>
      </w:tr>
      <w:tr w:rsidR="00D45CA8" w:rsidRPr="00AC2984" w14:paraId="33E4F37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77663F2" w14:textId="77777777" w:rsidR="00D45CA8" w:rsidRPr="00AC2984" w:rsidRDefault="00D45CA8" w:rsidP="00701284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3B613F4D" w14:textId="77777777" w:rsidTr="00785CF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5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15DBB34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8DE800A" w14:textId="402F7DE4" w:rsidR="00785CF1" w:rsidRPr="00BD75B9" w:rsidRDefault="00785CF1" w:rsidP="00785CF1">
            <w:pPr>
              <w:pStyle w:val="Aufzhlung1"/>
              <w:spacing w:before="6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6CDFB18" wp14:editId="1EE5F97B">
                  <wp:simplePos x="0" y="0"/>
                  <wp:positionH relativeFrom="column">
                    <wp:posOffset>4330065</wp:posOffset>
                  </wp:positionH>
                  <wp:positionV relativeFrom="margin">
                    <wp:posOffset>19989</wp:posOffset>
                  </wp:positionV>
                  <wp:extent cx="612000" cy="612000"/>
                  <wp:effectExtent l="0" t="0" r="0" b="0"/>
                  <wp:wrapNone/>
                  <wp:docPr id="1" name="Grafik 1" descr="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75B9">
              <w:rPr>
                <w:noProof/>
              </w:rPr>
              <w:t>Flüssigkeit und Dampf leicht entzündbar (Flammpunkt - 4°C)</w:t>
            </w:r>
            <w:r>
              <w:rPr>
                <w:noProof/>
              </w:rPr>
              <w:t>.</w:t>
            </w:r>
          </w:p>
          <w:p w14:paraId="3AE2E469" w14:textId="0C49E145" w:rsidR="00785CF1" w:rsidRPr="00BD75B9" w:rsidRDefault="00785CF1" w:rsidP="00785CF1">
            <w:pPr>
              <w:pStyle w:val="Aufzhlung1"/>
              <w:rPr>
                <w:noProof/>
              </w:rPr>
            </w:pPr>
            <w:r w:rsidRPr="00BD75B9">
              <w:rPr>
                <w:noProof/>
              </w:rPr>
              <w:t>Verursacht schwere Augenreizung.</w:t>
            </w:r>
          </w:p>
          <w:p w14:paraId="33E3ADF5" w14:textId="5000015D" w:rsidR="00E118EC" w:rsidRPr="00AC2984" w:rsidRDefault="00785CF1" w:rsidP="00785CF1">
            <w:pPr>
              <w:pStyle w:val="Aufzhlu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26C6BA" wp14:editId="216159F3">
                      <wp:simplePos x="0" y="0"/>
                      <wp:positionH relativeFrom="column">
                        <wp:posOffset>4597069</wp:posOffset>
                      </wp:positionH>
                      <wp:positionV relativeFrom="paragraph">
                        <wp:posOffset>144780</wp:posOffset>
                      </wp:positionV>
                      <wp:extent cx="708025" cy="286247"/>
                      <wp:effectExtent l="0" t="0" r="0" b="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025" cy="286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A27C79" w14:textId="77777777" w:rsidR="00785CF1" w:rsidRPr="00062D4D" w:rsidRDefault="00785CF1" w:rsidP="00785CF1">
                                  <w:pPr>
                                    <w:spacing w:befor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2D4D">
                                    <w:rPr>
                                      <w:sz w:val="18"/>
                                      <w:szCs w:val="18"/>
                                    </w:rPr>
                                    <w:t>Gefahr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26C6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left:0;text-align:left;margin-left:361.95pt;margin-top:11.4pt;width:55.75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" filled="f" stroked="f">
                      <v:textbox>
                        <w:txbxContent>
                          <w:p w14:paraId="75A27C79" w14:textId="77777777" w:rsidR="00785CF1" w:rsidRPr="00062D4D" w:rsidRDefault="00785CF1" w:rsidP="00785CF1">
                            <w:pPr>
                              <w:spacing w:befor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2D4D">
                              <w:rPr>
                                <w:sz w:val="18"/>
                                <w:szCs w:val="18"/>
                              </w:rPr>
                              <w:t>Gefahr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75B9">
              <w:rPr>
                <w:noProof/>
              </w:rPr>
              <w:t>Kann Schläfrigkeit und Benommenheit verursachen.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095516B" w14:textId="229883AB" w:rsidR="00D45CA8" w:rsidRPr="00CF1947" w:rsidRDefault="00785CF1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338AFB9" wp14:editId="6BB6A22D">
                  <wp:simplePos x="0" y="0"/>
                  <wp:positionH relativeFrom="column">
                    <wp:posOffset>26974</wp:posOffset>
                  </wp:positionH>
                  <wp:positionV relativeFrom="margin">
                    <wp:posOffset>29845</wp:posOffset>
                  </wp:positionV>
                  <wp:extent cx="612000" cy="601897"/>
                  <wp:effectExtent l="0" t="0" r="0" b="8255"/>
                  <wp:wrapNone/>
                  <wp:docPr id="3" name="Grafik 3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1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5CA8" w:rsidRPr="00AC2984" w14:paraId="7DA2EAB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CC6471D" w14:textId="3BFEF6BE" w:rsidR="00D45CA8" w:rsidRPr="00AC2984" w:rsidRDefault="00D45CA8" w:rsidP="00701284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1E2E9908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E135DBF" w14:textId="6B02B2F8" w:rsidR="00D45CA8" w:rsidRPr="00AC2984" w:rsidRDefault="00785CF1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5159F3">
              <w:rPr>
                <w:noProof/>
              </w:rPr>
              <w:drawing>
                <wp:inline distT="0" distB="0" distL="0" distR="0" wp14:anchorId="0683ABA7" wp14:editId="2D1C574B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F0B95AE" w14:textId="5E9FE480" w:rsidR="00785CF1" w:rsidRPr="005311D3" w:rsidRDefault="00785CF1" w:rsidP="00785CF1">
            <w:pPr>
              <w:pStyle w:val="Aufzhlung1"/>
              <w:spacing w:before="60"/>
            </w:pPr>
            <w:r w:rsidRPr="00785CF1">
              <w:t>Bei langem und intensivem Kontakt Schutzhandschuhe</w:t>
            </w:r>
            <w:r w:rsidRPr="005311D3">
              <w:t xml:space="preserve"> aus </w:t>
            </w:r>
            <w:r>
              <w:t xml:space="preserve">Butylkautschuk tragen (Farbe </w:t>
            </w:r>
            <w:r w:rsidRPr="005311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1D3">
              <w:instrText xml:space="preserve"> FORMTEXT </w:instrText>
            </w:r>
            <w:r w:rsidRPr="005311D3">
              <w:fldChar w:fldCharType="separate"/>
            </w:r>
            <w:r w:rsidRPr="005311D3">
              <w:rPr>
                <w:noProof/>
              </w:rPr>
              <w:t> </w:t>
            </w:r>
            <w:r w:rsidRPr="005311D3">
              <w:rPr>
                <w:noProof/>
              </w:rPr>
              <w:t> </w:t>
            </w:r>
            <w:r w:rsidRPr="005311D3">
              <w:rPr>
                <w:noProof/>
              </w:rPr>
              <w:t> </w:t>
            </w:r>
            <w:r w:rsidRPr="005311D3">
              <w:rPr>
                <w:noProof/>
              </w:rPr>
              <w:t> </w:t>
            </w:r>
            <w:r w:rsidRPr="005311D3">
              <w:rPr>
                <w:noProof/>
              </w:rPr>
              <w:t> </w:t>
            </w:r>
            <w:r w:rsidRPr="005311D3">
              <w:fldChar w:fldCharType="end"/>
            </w:r>
            <w:r>
              <w:t xml:space="preserve">), gegen Spritzgefahr oder bei sehr kurzem Kontakt können Handschuhe aus </w:t>
            </w:r>
            <w:r w:rsidRPr="005311D3">
              <w:t xml:space="preserve">Nitrilkautschuk </w:t>
            </w:r>
            <w:r>
              <w:t>ge</w:t>
            </w:r>
            <w:r w:rsidRPr="005311D3">
              <w:t>tragen</w:t>
            </w:r>
            <w:r>
              <w:t xml:space="preserve"> werden</w:t>
            </w:r>
            <w:r w:rsidRPr="005311D3">
              <w:t xml:space="preserve"> (Farbe</w:t>
            </w:r>
            <w:r>
              <w:t xml:space="preserve"> </w:t>
            </w:r>
            <w:r w:rsidRPr="005311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1D3">
              <w:instrText xml:space="preserve"> FORMTEXT </w:instrText>
            </w:r>
            <w:r w:rsidRPr="005311D3">
              <w:fldChar w:fldCharType="separate"/>
            </w:r>
            <w:r w:rsidRPr="005311D3">
              <w:rPr>
                <w:noProof/>
              </w:rPr>
              <w:t> </w:t>
            </w:r>
            <w:r w:rsidRPr="005311D3">
              <w:rPr>
                <w:noProof/>
              </w:rPr>
              <w:t> </w:t>
            </w:r>
            <w:r w:rsidRPr="005311D3">
              <w:rPr>
                <w:noProof/>
              </w:rPr>
              <w:t> </w:t>
            </w:r>
            <w:r w:rsidRPr="005311D3">
              <w:rPr>
                <w:noProof/>
              </w:rPr>
              <w:t> </w:t>
            </w:r>
            <w:r w:rsidRPr="005311D3">
              <w:rPr>
                <w:noProof/>
              </w:rPr>
              <w:t> </w:t>
            </w:r>
            <w:r w:rsidRPr="005311D3">
              <w:fldChar w:fldCharType="end"/>
            </w:r>
            <w:r w:rsidRPr="005311D3">
              <w:t>)</w:t>
            </w:r>
            <w:r>
              <w:t>. (</w:t>
            </w:r>
            <w:r w:rsidRPr="000B0F7A">
              <w:rPr>
                <w:color w:val="FF0000"/>
              </w:rPr>
              <w:t xml:space="preserve">Achtung: bei der Handschuhauswahl unbedingt die </w:t>
            </w:r>
            <w:r>
              <w:rPr>
                <w:color w:val="FF0000"/>
              </w:rPr>
              <w:t>Arbeitsbedingungen sowie</w:t>
            </w:r>
            <w:r w:rsidRPr="000B0F7A">
              <w:rPr>
                <w:color w:val="FF0000"/>
              </w:rPr>
              <w:t xml:space="preserve"> weitere vorhandene Arbeitsstoffe/Gefahrstoffe berücksichtigen!</w:t>
            </w:r>
            <w:r>
              <w:t>)</w:t>
            </w:r>
          </w:p>
          <w:p w14:paraId="6A79FA44" w14:textId="7105B794" w:rsidR="00785CF1" w:rsidRDefault="00785CF1" w:rsidP="00785CF1">
            <w:pPr>
              <w:pStyle w:val="Aufzhlung1"/>
            </w:pPr>
            <w:r w:rsidRPr="005311D3">
              <w:t xml:space="preserve">Hautschutzplan beachten. </w:t>
            </w:r>
          </w:p>
          <w:p w14:paraId="6482FC89" w14:textId="0360A05B" w:rsidR="00785CF1" w:rsidRDefault="00785CF1" w:rsidP="00785CF1">
            <w:pPr>
              <w:pStyle w:val="Aufzhlung1"/>
            </w:pPr>
            <w:r w:rsidRPr="005311D3">
              <w:t xml:space="preserve">Behälter dicht geschlossen halten. Für </w:t>
            </w:r>
            <w:r>
              <w:t xml:space="preserve">sehr </w:t>
            </w:r>
            <w:r w:rsidRPr="005311D3">
              <w:t>gute Durchlüftung sor</w:t>
            </w:r>
            <w:r>
              <w:t xml:space="preserve">gen. </w:t>
            </w:r>
          </w:p>
          <w:p w14:paraId="101EFAF3" w14:textId="2CF472A4" w:rsidR="00785CF1" w:rsidRDefault="00785CF1" w:rsidP="00785CF1">
            <w:pPr>
              <w:pStyle w:val="Aufzhlung1"/>
            </w:pPr>
            <w:r w:rsidRPr="005311D3">
              <w:t>Beim Umfüllen Behälter erden</w:t>
            </w:r>
            <w:r>
              <w:t>.</w:t>
            </w:r>
          </w:p>
          <w:p w14:paraId="0F8DF454" w14:textId="38DEBE2B" w:rsidR="00785CF1" w:rsidRPr="005311D3" w:rsidRDefault="00785CF1" w:rsidP="00785CF1">
            <w:pPr>
              <w:pStyle w:val="Aufzhlung1"/>
            </w:pPr>
            <w:r w:rsidRPr="005311D3">
              <w:t>Von offenen Flammen und heißen Oberflächen fernhalten – nicht rauchen.</w:t>
            </w:r>
          </w:p>
          <w:p w14:paraId="53E2E8E5" w14:textId="54324120" w:rsidR="00785CF1" w:rsidRDefault="00785CF1" w:rsidP="00785CF1">
            <w:pPr>
              <w:pStyle w:val="Aufzhlung1"/>
            </w:pPr>
            <w:r w:rsidRPr="005311D3">
              <w:t xml:space="preserve">Nicht zur Maschinenreinigung verwenden. </w:t>
            </w:r>
          </w:p>
          <w:p w14:paraId="430D83BD" w14:textId="26F949BC" w:rsidR="00785CF1" w:rsidRPr="005311D3" w:rsidRDefault="00785CF1" w:rsidP="00785CF1">
            <w:pPr>
              <w:pStyle w:val="Aufzhlung1"/>
            </w:pPr>
            <w:r w:rsidRPr="005311D3">
              <w:t xml:space="preserve">Im Drucksaal nur Menge für eine Arbeitsschicht aufbewahren. </w:t>
            </w:r>
          </w:p>
          <w:p w14:paraId="7883CEBC" w14:textId="448E745C" w:rsidR="00785CF1" w:rsidRPr="005311D3" w:rsidRDefault="00785CF1" w:rsidP="00785CF1">
            <w:pPr>
              <w:pStyle w:val="Aufzhlung1"/>
            </w:pPr>
            <w:r w:rsidRPr="005311D3">
              <w:t xml:space="preserve">Bei Spritzgefahr Schutzbrille mit Seitenschutz verwenden. </w:t>
            </w:r>
          </w:p>
          <w:p w14:paraId="739F03C5" w14:textId="2812B6B4" w:rsidR="00785CF1" w:rsidRPr="005311D3" w:rsidRDefault="00785CF1" w:rsidP="00785CF1">
            <w:pPr>
              <w:pStyle w:val="Aufzhlung1"/>
            </w:pPr>
            <w:r>
              <w:t>Bei der Arbeit nicht essen, trinken, rauchen.</w:t>
            </w:r>
          </w:p>
          <w:p w14:paraId="78005E8C" w14:textId="70F7E397" w:rsidR="00D45CA8" w:rsidRPr="00AC2984" w:rsidRDefault="00785CF1" w:rsidP="00785CF1">
            <w:pPr>
              <w:pStyle w:val="Aufzhlung1"/>
              <w:spacing w:after="60"/>
            </w:pPr>
            <w:r w:rsidRPr="005311D3">
              <w:t>Getränke ausschließlich in verschließbaren Behältnissen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8F0F599" w14:textId="77777777" w:rsidR="00D45CA8" w:rsidRDefault="00785CF1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5159F3">
              <w:rPr>
                <w:noProof/>
              </w:rPr>
              <w:drawing>
                <wp:inline distT="0" distB="0" distL="0" distR="0" wp14:anchorId="46B918AC" wp14:editId="1829111C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80BEF" w14:textId="0B2D48B9" w:rsidR="00785CF1" w:rsidRPr="00CF1947" w:rsidRDefault="00785CF1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5159F3">
              <w:rPr>
                <w:noProof/>
              </w:rPr>
              <w:drawing>
                <wp:inline distT="0" distB="0" distL="0" distR="0" wp14:anchorId="60FA18DB" wp14:editId="313A5E04">
                  <wp:extent cx="612000" cy="612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28071A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CB18D23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344C440D" w14:textId="77777777" w:rsidTr="00785CF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97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5493CEFB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AAFA999" w14:textId="77777777" w:rsidR="00785CF1" w:rsidRPr="005311D3" w:rsidRDefault="00785CF1" w:rsidP="00785CF1">
            <w:r w:rsidRPr="00785CF1">
              <w:rPr>
                <w:b/>
                <w:bCs/>
              </w:rPr>
              <w:t>Geeignete Löschmittel:</w:t>
            </w:r>
            <w:r w:rsidRPr="005311D3">
              <w:t xml:space="preserve"> Schaum, Pulver, CO</w:t>
            </w:r>
            <w:r w:rsidRPr="00062D4D">
              <w:rPr>
                <w:vertAlign w:val="subscript"/>
              </w:rPr>
              <w:t>2</w:t>
            </w:r>
            <w:r w:rsidRPr="005311D3">
              <w:t>.</w:t>
            </w:r>
          </w:p>
          <w:p w14:paraId="000A1C3E" w14:textId="70E30DA4" w:rsidR="00785CF1" w:rsidRPr="005311D3" w:rsidRDefault="00785CF1" w:rsidP="00785CF1">
            <w:pPr>
              <w:pStyle w:val="Aufzhlung1"/>
            </w:pPr>
            <w:r w:rsidRPr="005311D3">
              <w:t>Wurde Produkt verschüttet, mit flüssigkeitsbindenden Material (</w:t>
            </w:r>
            <w:r w:rsidRPr="005311D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11D3">
              <w:instrText xml:space="preserve"> FORMTEXT </w:instrText>
            </w:r>
            <w:r w:rsidRPr="005311D3">
              <w:fldChar w:fldCharType="separate"/>
            </w:r>
            <w:r w:rsidRPr="005311D3">
              <w:rPr>
                <w:noProof/>
              </w:rPr>
              <w:t> </w:t>
            </w:r>
            <w:r w:rsidRPr="005311D3">
              <w:rPr>
                <w:noProof/>
              </w:rPr>
              <w:t> </w:t>
            </w:r>
            <w:r w:rsidRPr="005311D3">
              <w:rPr>
                <w:noProof/>
              </w:rPr>
              <w:t> </w:t>
            </w:r>
            <w:r w:rsidRPr="005311D3">
              <w:rPr>
                <w:noProof/>
              </w:rPr>
              <w:t> </w:t>
            </w:r>
            <w:r w:rsidRPr="005311D3">
              <w:rPr>
                <w:noProof/>
              </w:rPr>
              <w:t> </w:t>
            </w:r>
            <w:r w:rsidRPr="005311D3">
              <w:fldChar w:fldCharType="end"/>
            </w:r>
            <w:r w:rsidRPr="005311D3">
              <w:t xml:space="preserve">) aufnehmen; </w:t>
            </w:r>
          </w:p>
          <w:p w14:paraId="1EEA18D8" w14:textId="518F3B19" w:rsidR="00785CF1" w:rsidRDefault="00785CF1" w:rsidP="00785CF1">
            <w:pPr>
              <w:pStyle w:val="Aufzhlung1"/>
            </w:pPr>
            <w:r w:rsidRPr="005311D3">
              <w:t>Schaltfunken vermeiden und gut lüften</w:t>
            </w:r>
            <w:r>
              <w:t>.</w:t>
            </w:r>
            <w:r w:rsidRPr="005311D3">
              <w:t xml:space="preserve"> </w:t>
            </w:r>
          </w:p>
          <w:p w14:paraId="15C7D14B" w14:textId="7EDB04EC" w:rsidR="00785CF1" w:rsidRPr="005311D3" w:rsidRDefault="00785CF1" w:rsidP="00785CF1">
            <w:pPr>
              <w:pStyle w:val="Aufzhlung1"/>
            </w:pPr>
            <w:r>
              <w:t>N</w:t>
            </w:r>
            <w:r w:rsidRPr="005311D3">
              <w:t>icht in die Kanalisation gelangen lassen.</w:t>
            </w:r>
          </w:p>
          <w:p w14:paraId="45785471" w14:textId="2DB4DB8D" w:rsidR="00D45CA8" w:rsidRPr="00AC2984" w:rsidRDefault="00785CF1" w:rsidP="00785CF1">
            <w:pPr>
              <w:pStyle w:val="Notruf"/>
              <w:spacing w:before="60"/>
            </w:pPr>
            <w:r w:rsidRPr="005311D3">
              <w:t>Notruf 112</w:t>
            </w:r>
          </w:p>
        </w:tc>
      </w:tr>
      <w:tr w:rsidR="00D45CA8" w:rsidRPr="00AC2984" w14:paraId="382870C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CDB67C2" w14:textId="77777777" w:rsidR="00D45CA8" w:rsidRPr="00AC2984" w:rsidRDefault="00D45CA8" w:rsidP="00701284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2FEF9F7E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27BE435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F110276" wp14:editId="5A984CD2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5EE6B2A" w14:textId="4F6700A0" w:rsidR="00400BC7" w:rsidRPr="00AC2984" w:rsidRDefault="00785CF1" w:rsidP="00785CF1">
            <w:r w:rsidRPr="00785CF1">
              <w:rPr>
                <w:b/>
              </w:rPr>
              <w:t xml:space="preserve">Hautkontakt: </w:t>
            </w:r>
            <w:r w:rsidRPr="00785CF1">
              <w:t xml:space="preserve">Mit Wasser und Seife abwaschen und abspülen. </w:t>
            </w:r>
            <w:r w:rsidRPr="00785CF1">
              <w:br/>
            </w:r>
            <w:r w:rsidRPr="00701284">
              <w:rPr>
                <w:b/>
                <w:spacing w:val="-4"/>
              </w:rPr>
              <w:t>Augenkontakt</w:t>
            </w:r>
            <w:r w:rsidRPr="00701284">
              <w:rPr>
                <w:spacing w:val="-4"/>
              </w:rPr>
              <w:t>: Reichlich mit Wasser spülen (ca. 10 - 15 Min.). Bei anhaltender Reizung Arzt aufsuchen.</w:t>
            </w:r>
            <w:r w:rsidRPr="00785CF1">
              <w:t xml:space="preserve"> </w:t>
            </w:r>
            <w:r w:rsidRPr="00785CF1">
              <w:br/>
            </w:r>
            <w:r w:rsidRPr="00785CF1">
              <w:rPr>
                <w:b/>
              </w:rPr>
              <w:t>Verschlucken:</w:t>
            </w:r>
            <w:r w:rsidRPr="00785CF1">
              <w:t xml:space="preserve"> Kein Erbrechen herbeiführen. Arzt konsultieren. </w:t>
            </w:r>
            <w:r w:rsidRPr="00785CF1">
              <w:br/>
            </w:r>
            <w:r w:rsidRPr="00785CF1">
              <w:rPr>
                <w:b/>
              </w:rPr>
              <w:t>Einatmen:</w:t>
            </w:r>
            <w:r w:rsidRPr="00785CF1">
              <w:t xml:space="preserve"> Für Frischluftzufuhr sorgen. Ggf. Arzt hinzuziehen. </w:t>
            </w:r>
            <w:r w:rsidRPr="00785CF1">
              <w:br/>
            </w:r>
            <w:r w:rsidRPr="00785CF1">
              <w:rPr>
                <w:b/>
              </w:rPr>
              <w:t>Kleiderkontakt:</w:t>
            </w:r>
            <w:r w:rsidRPr="00785CF1">
              <w:t xml:space="preserve"> Verunreinigte Kleidung oder Schuhe wechseln und vor Wiederbenutzung reinigen.</w:t>
            </w:r>
          </w:p>
          <w:p w14:paraId="06922705" w14:textId="015C60B8" w:rsidR="00D45CA8" w:rsidRPr="00DE0EFD" w:rsidRDefault="00D45CA8" w:rsidP="00785CF1">
            <w:pPr>
              <w:pStyle w:val="Notruf"/>
              <w:spacing w:before="60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785CF1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5630D30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6C672DA" w14:textId="77777777" w:rsidR="00D45CA8" w:rsidRPr="00AC2984" w:rsidRDefault="00D45CA8" w:rsidP="00C5277C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5ECEC2F1" w14:textId="77777777" w:rsidTr="00785CF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A1BEE50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E303D7F" w14:textId="77777777" w:rsidR="00785CF1" w:rsidRPr="00785CF1" w:rsidRDefault="00785CF1" w:rsidP="00785CF1">
            <w:pPr>
              <w:pStyle w:val="Aufzhlung1"/>
              <w:spacing w:before="60"/>
            </w:pPr>
            <w:r w:rsidRPr="00785CF1">
              <w:t>Nicht in die Kanalisation oder Gewässer gelangen lassen.</w:t>
            </w:r>
          </w:p>
          <w:p w14:paraId="2BB41BFC" w14:textId="4D8835B4" w:rsidR="00785CF1" w:rsidRPr="00785CF1" w:rsidRDefault="00785CF1" w:rsidP="00785CF1">
            <w:pPr>
              <w:pStyle w:val="Aufzhlung1"/>
            </w:pPr>
            <w:r w:rsidRPr="00785CF1">
              <w:t xml:space="preserve">Gebrauchte Putztücher dürfen nur in die dafür vorgesehenen dicht schließenden, </w:t>
            </w:r>
            <w:r w:rsidR="00701284">
              <w:br/>
            </w:r>
            <w:r w:rsidRPr="00785CF1">
              <w:t xml:space="preserve">nicht brennbaren Behälter (Farbe: </w:t>
            </w:r>
            <w:r w:rsidRPr="00785C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5CF1">
              <w:instrText xml:space="preserve"> FORMTEXT </w:instrText>
            </w:r>
            <w:r w:rsidRPr="00785CF1">
              <w:fldChar w:fldCharType="separate"/>
            </w:r>
            <w:r w:rsidRPr="00785CF1">
              <w:t> </w:t>
            </w:r>
            <w:r w:rsidRPr="00785CF1">
              <w:t> </w:t>
            </w:r>
            <w:r w:rsidRPr="00785CF1">
              <w:t> </w:t>
            </w:r>
            <w:r w:rsidRPr="00785CF1">
              <w:t> </w:t>
            </w:r>
            <w:r w:rsidRPr="00785CF1">
              <w:t> </w:t>
            </w:r>
            <w:r w:rsidRPr="00785CF1">
              <w:fldChar w:fldCharType="end"/>
            </w:r>
            <w:r w:rsidRPr="00785CF1">
              <w:t xml:space="preserve">) gefüllt werden. Diese Behälter sind geschlossen </w:t>
            </w:r>
            <w:r w:rsidR="00701284">
              <w:br/>
            </w:r>
            <w:r w:rsidRPr="00785CF1">
              <w:t xml:space="preserve">zu halten und täglich in die Sammelbehälter </w:t>
            </w:r>
            <w:r w:rsidRPr="00785CF1">
              <w:rPr>
                <w:b/>
              </w:rPr>
              <w:t>außerhalb</w:t>
            </w:r>
            <w:r w:rsidRPr="00785CF1">
              <w:t xml:space="preserve"> des Drucksaals zu entleeren.</w:t>
            </w:r>
          </w:p>
          <w:p w14:paraId="0C922CD6" w14:textId="7D8112A7" w:rsidR="00D45CA8" w:rsidRPr="00AC2984" w:rsidRDefault="00785CF1" w:rsidP="00785CF1">
            <w:pPr>
              <w:pStyle w:val="Notruf"/>
              <w:spacing w:before="60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3D19700B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335BF"/>
    <w:multiLevelType w:val="hybridMultilevel"/>
    <w:tmpl w:val="1FDEEACA"/>
    <w:lvl w:ilvl="0" w:tplc="94F05CF8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F1"/>
    <w:rsid w:val="00072313"/>
    <w:rsid w:val="0020256F"/>
    <w:rsid w:val="002874ED"/>
    <w:rsid w:val="00352514"/>
    <w:rsid w:val="003F0E4D"/>
    <w:rsid w:val="00400BC7"/>
    <w:rsid w:val="00564C7D"/>
    <w:rsid w:val="00701284"/>
    <w:rsid w:val="00744851"/>
    <w:rsid w:val="00785CF1"/>
    <w:rsid w:val="00800ABE"/>
    <w:rsid w:val="00850334"/>
    <w:rsid w:val="008525E3"/>
    <w:rsid w:val="008C499B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D653A"/>
  <w15:chartTrackingRefBased/>
  <w15:docId w15:val="{2120B8FB-5898-4F97-A2F2-CE68714F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284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701284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300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2025-06-11T15:43:00Z</dcterms:created>
  <dcterms:modified xsi:type="dcterms:W3CDTF">2025-07-04T09:43:00Z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