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DEFE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8C1D102" wp14:editId="7E7C111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F7E6F" w14:textId="77777777" w:rsidR="00564C7D" w:rsidRPr="00B836B7" w:rsidRDefault="00564C7D">
      <w:pPr>
        <w:spacing w:before="0"/>
        <w:rPr>
          <w:sz w:val="8"/>
        </w:rPr>
      </w:pPr>
    </w:p>
    <w:p w14:paraId="346218BB" w14:textId="77777777" w:rsidR="00564C7D" w:rsidRPr="00B836B7" w:rsidRDefault="00564C7D">
      <w:pPr>
        <w:spacing w:before="0"/>
        <w:rPr>
          <w:sz w:val="8"/>
        </w:rPr>
      </w:pPr>
    </w:p>
    <w:p w14:paraId="325B7E73" w14:textId="77777777" w:rsidR="00564C7D" w:rsidRPr="00B836B7" w:rsidRDefault="00564C7D">
      <w:pPr>
        <w:spacing w:before="0"/>
        <w:rPr>
          <w:sz w:val="8"/>
        </w:rPr>
      </w:pPr>
    </w:p>
    <w:p w14:paraId="7B0EC44F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08E164B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2A9E8B2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5F9FE0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78A8979D" wp14:editId="76CD5067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2667F" w14:textId="77777777" w:rsidR="00B836B7" w:rsidRPr="00AC2984" w:rsidRDefault="00B836B7" w:rsidP="00AC2984">
            <w:pPr>
              <w:spacing w:before="80"/>
            </w:pPr>
          </w:p>
          <w:p w14:paraId="0572FE4A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D926EB0" wp14:editId="35AD25B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674EA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79222CB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E8D884B" wp14:editId="26B28DC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F586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C4D8B48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AF5A751" wp14:editId="2D20A5B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EA726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5E5123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FF87F4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B37A29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064F529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C1E073A" w14:textId="5A13DEFD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895C7F" w:rsidRPr="00895C7F">
              <w:t>Textilveredelung</w:t>
            </w:r>
          </w:p>
          <w:p w14:paraId="37081409" w14:textId="0ECA6A3E" w:rsidR="00D45CA8" w:rsidRPr="00AC2984" w:rsidRDefault="00D45CA8" w:rsidP="00895C7F">
            <w:pPr>
              <w:spacing w:before="100" w:after="60"/>
            </w:pPr>
            <w:r w:rsidRPr="00AC2984">
              <w:t xml:space="preserve">Tätigkeit: </w:t>
            </w:r>
            <w:r w:rsidR="00895C7F">
              <w:t>Betanken des Lagertanks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BF5808D" w14:textId="77777777" w:rsidR="00B836B7" w:rsidRPr="00AC2984" w:rsidRDefault="00B836B7" w:rsidP="00C9224C">
            <w:pPr>
              <w:spacing w:before="80" w:after="140"/>
            </w:pPr>
          </w:p>
          <w:p w14:paraId="24516E8D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30ADC14" w14:textId="1806226D" w:rsidR="00D45CA8" w:rsidRPr="00AC2984" w:rsidRDefault="00895C7F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B107</w:t>
            </w:r>
          </w:p>
        </w:tc>
      </w:tr>
      <w:tr w:rsidR="00D45CA8" w:rsidRPr="00AC2984" w14:paraId="2670B82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B50D10D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08BB303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D54FD71" w14:textId="5407586F" w:rsidR="00D45CA8" w:rsidRPr="00E118EC" w:rsidRDefault="00895C7F" w:rsidP="00895C7F">
            <w:pPr>
              <w:pStyle w:val="berschrift3"/>
              <w:ind w:left="1191"/>
              <w:jc w:val="left"/>
            </w:pPr>
            <w:r w:rsidRPr="00895C7F">
              <w:t xml:space="preserve">50%ige Natronlauge </w:t>
            </w:r>
            <w:r w:rsidRPr="00895C7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C7F">
              <w:rPr>
                <w:u w:val="single"/>
              </w:rPr>
              <w:instrText xml:space="preserve"> FORMTEXT </w:instrText>
            </w:r>
            <w:r w:rsidRPr="00895C7F">
              <w:rPr>
                <w:u w:val="single"/>
              </w:rPr>
            </w:r>
            <w:r w:rsidRPr="00895C7F">
              <w:rPr>
                <w:u w:val="single"/>
              </w:rPr>
              <w:fldChar w:fldCharType="separate"/>
            </w:r>
            <w:r w:rsidRPr="00895C7F">
              <w:rPr>
                <w:u w:val="single"/>
              </w:rPr>
              <w:t> </w:t>
            </w:r>
            <w:r w:rsidRPr="00895C7F">
              <w:rPr>
                <w:u w:val="single"/>
              </w:rPr>
              <w:t> </w:t>
            </w:r>
            <w:r w:rsidRPr="00895C7F">
              <w:rPr>
                <w:u w:val="single"/>
              </w:rPr>
              <w:t> </w:t>
            </w:r>
            <w:r w:rsidRPr="00895C7F">
              <w:rPr>
                <w:u w:val="single"/>
              </w:rPr>
              <w:t> </w:t>
            </w:r>
            <w:r w:rsidRPr="00895C7F">
              <w:rPr>
                <w:u w:val="single"/>
              </w:rPr>
              <w:t> </w:t>
            </w:r>
            <w:r w:rsidRPr="00895C7F">
              <w:fldChar w:fldCharType="end"/>
            </w:r>
          </w:p>
        </w:tc>
      </w:tr>
      <w:tr w:rsidR="00D45CA8" w:rsidRPr="00AC2984" w14:paraId="5914C14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A5F6790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D3642F4" w14:textId="77777777" w:rsidTr="00895C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4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C468819" w14:textId="03B1F87B" w:rsidR="00D45CA8" w:rsidRDefault="00895C7F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BA7B1E7" wp14:editId="046454A4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FE461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9091ACF" w14:textId="77777777" w:rsidR="00895C7F" w:rsidRDefault="00895C7F" w:rsidP="00895C7F">
            <w:pPr>
              <w:pStyle w:val="Aufzhlung1"/>
            </w:pPr>
            <w:r>
              <w:t>Verursacht schwere Verätzungen und schlecht heilende Wunden</w:t>
            </w:r>
          </w:p>
          <w:p w14:paraId="4D566D83" w14:textId="3F773B95" w:rsidR="00895C7F" w:rsidRDefault="00895C7F" w:rsidP="00895C7F">
            <w:pPr>
              <w:pStyle w:val="Aufzhlung1"/>
            </w:pPr>
            <w:r>
              <w:t xml:space="preserve">Freiwerdende Dämpfe und Aerosole können zu Schäden der Schleimhäute und </w:t>
            </w:r>
            <w:r>
              <w:br/>
            </w:r>
            <w:r>
              <w:t>Augen führen</w:t>
            </w:r>
          </w:p>
          <w:p w14:paraId="07B40D2A" w14:textId="77777777" w:rsidR="00895C7F" w:rsidRDefault="00895C7F" w:rsidP="00895C7F">
            <w:pPr>
              <w:pStyle w:val="Aufzhlung1"/>
            </w:pPr>
            <w:r>
              <w:t>Beim Mischen mit Wasser starke Wärmeentwicklung!</w:t>
            </w:r>
          </w:p>
          <w:p w14:paraId="2169BE2E" w14:textId="77777777" w:rsidR="00895C7F" w:rsidRDefault="00895C7F" w:rsidP="00895C7F">
            <w:pPr>
              <w:pStyle w:val="Aufzhlung1"/>
            </w:pPr>
            <w:r>
              <w:t>Nach Verschlucken Gefahr der Magenzerstörung</w:t>
            </w:r>
          </w:p>
          <w:p w14:paraId="104900AF" w14:textId="70B1ADD8" w:rsidR="00E118EC" w:rsidRPr="00AC2984" w:rsidRDefault="00895C7F" w:rsidP="00895C7F">
            <w:pPr>
              <w:pStyle w:val="Aufzhlung1"/>
            </w:pPr>
            <w:r>
              <w:t>Rutschgefahr bei verschütteter Natronlauge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BABE9D4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1A08C4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5B37BC8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A514583" w14:textId="77777777" w:rsidTr="00895C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9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732A42F" w14:textId="77777777" w:rsidR="00D45CA8" w:rsidRPr="00AC2984" w:rsidRDefault="00D45CA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AC2C1E6" w14:textId="77777777" w:rsidR="00895C7F" w:rsidRPr="00935969" w:rsidRDefault="00895C7F" w:rsidP="00895C7F">
            <w:pPr>
              <w:pStyle w:val="Aufzhlung1"/>
            </w:pPr>
            <w:r w:rsidRPr="00935969">
              <w:t>Vor dem Betanken muss geprüft werden, ob die Füllstandsanzeige des Tanks fun</w:t>
            </w:r>
            <w:r w:rsidRPr="00935969">
              <w:t>k</w:t>
            </w:r>
            <w:r w:rsidRPr="00935969">
              <w:t>tionsfähig ist, Füll- und Abluftleitungen von Natriumhydroxi</w:t>
            </w:r>
            <w:r w:rsidRPr="00935969">
              <w:t>d</w:t>
            </w:r>
            <w:r w:rsidRPr="00935969">
              <w:t>verkrustungen gereinigt wurden und k</w:t>
            </w:r>
            <w:r>
              <w:t xml:space="preserve">eine Beschädigungen aufweisen, </w:t>
            </w:r>
            <w:r w:rsidRPr="00935969">
              <w:t>die angelieferte Menge vollständig in den</w:t>
            </w:r>
            <w:r>
              <w:t xml:space="preserve"> Tank gefüllt werden kann, die </w:t>
            </w:r>
            <w:r w:rsidRPr="00935969">
              <w:t>Tankwagenkupplung zum Abfüllstutzen pa</w:t>
            </w:r>
            <w:r>
              <w:t xml:space="preserve">sst, Schlauchleitungen des </w:t>
            </w:r>
            <w:r w:rsidRPr="00935969">
              <w:t>Tankw</w:t>
            </w:r>
            <w:r w:rsidRPr="00935969">
              <w:t>a</w:t>
            </w:r>
            <w:r w:rsidRPr="00935969">
              <w:t>gens nicht beschädigt sind</w:t>
            </w:r>
          </w:p>
          <w:p w14:paraId="1CD18CD9" w14:textId="7C957DFA" w:rsidR="00D45CA8" w:rsidRPr="00AC2984" w:rsidRDefault="00895C7F" w:rsidP="00895C7F">
            <w:pPr>
              <w:pStyle w:val="Aufzhlung1"/>
            </w:pPr>
            <w:r w:rsidRPr="00935969">
              <w:t xml:space="preserve">Beim Betanken dürfen sich keine Beschäftigten im Gefahrenbereich </w:t>
            </w:r>
            <w:r w:rsidRPr="00935969">
              <w:br/>
              <w:t>aufha</w:t>
            </w:r>
            <w:r w:rsidRPr="00935969">
              <w:t>l</w:t>
            </w:r>
            <w:r w:rsidRPr="00935969">
              <w:t>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E151848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45DF40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AE4BE1C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F519C8D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8E912F9" w14:textId="77777777" w:rsidR="00D45CA8" w:rsidRDefault="00895C7F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99FDF54" wp14:editId="2EB1A37F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8027E" w14:textId="4BBAFBB7" w:rsidR="00895C7F" w:rsidRPr="00AC2984" w:rsidRDefault="00895C7F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4865DD8" wp14:editId="3D24E6E7">
                  <wp:extent cx="612140" cy="612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D1CC338" w14:textId="77777777" w:rsidR="00895C7F" w:rsidRDefault="00895C7F" w:rsidP="00895C7F">
            <w:pPr>
              <w:pStyle w:val="Aufzhlung1"/>
            </w:pPr>
            <w:r>
              <w:t xml:space="preserve">Ergeben sich beim Betanken Hinweise auf Funktionsstörungen am Lagertank, dem </w:t>
            </w:r>
            <w:r>
              <w:br/>
              <w:t>Abfül</w:t>
            </w:r>
            <w:r>
              <w:t>l</w:t>
            </w:r>
            <w:r>
              <w:t>stutzen und den Leitungen, muss das Betanken sofort unterbrochen werden</w:t>
            </w:r>
          </w:p>
          <w:p w14:paraId="037A20F3" w14:textId="77777777" w:rsidR="00895C7F" w:rsidRDefault="00895C7F" w:rsidP="00895C7F">
            <w:pPr>
              <w:pStyle w:val="Aufzhlung1"/>
            </w:pPr>
            <w:r>
              <w:t xml:space="preserve">Evtl. erforderliche Reparaturen dürfen erst durchgeführt werden, wenn die Anlage </w:t>
            </w:r>
            <w:r>
              <w:br/>
              <w:t>nicht mehr unter Überdruck steht</w:t>
            </w:r>
          </w:p>
          <w:p w14:paraId="7F4EC970" w14:textId="77777777" w:rsidR="00895C7F" w:rsidRDefault="00895C7F" w:rsidP="00895C7F">
            <w:pPr>
              <w:pStyle w:val="Aufzhlung1"/>
            </w:pPr>
            <w:r>
              <w:t>Bei unklaren Verhältnissen, bei Reparatur- und Reinigungsarbeiten immer dicht-</w:t>
            </w:r>
            <w:r>
              <w:br/>
              <w:t xml:space="preserve">sitzende Schutzbrille/Gesichtsschutz, laugenbeständige Handschuhe </w:t>
            </w:r>
            <w:r w:rsidRPr="00CA2707">
              <w:t>z.B.</w:t>
            </w:r>
            <w:r w:rsidRPr="00FB21E8">
              <w:t xml:space="preserve"> </w:t>
            </w:r>
            <w:r>
              <w:br/>
            </w:r>
            <w:r w:rsidRPr="00CA2707">
              <w:t>Butylkautschuk – Butyl: 0,5 mm</w:t>
            </w:r>
            <w:r>
              <w:t>, Gummistiefel und Kuns</w:t>
            </w:r>
            <w:r>
              <w:t>t</w:t>
            </w:r>
            <w:r>
              <w:t>stoffschürze tragen</w:t>
            </w:r>
          </w:p>
          <w:p w14:paraId="0C92D29D" w14:textId="77777777" w:rsidR="00895C7F" w:rsidRDefault="00895C7F" w:rsidP="00895C7F">
            <w:pPr>
              <w:pStyle w:val="Aufzhlung1"/>
              <w:rPr>
                <w:color w:val="000000"/>
              </w:rPr>
            </w:pPr>
            <w:r>
              <w:t>Bei Auftreten von Nebeln Gefahrenbereich sofort verlassen</w:t>
            </w:r>
          </w:p>
          <w:p w14:paraId="383473F7" w14:textId="77A68D80" w:rsidR="00D45CA8" w:rsidRPr="00AC2984" w:rsidRDefault="00895C7F" w:rsidP="00895C7F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6C404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04E">
              <w:instrText xml:space="preserve"> </w:instrText>
            </w:r>
            <w:r>
              <w:instrText>FORMTEXT</w:instrText>
            </w:r>
            <w:r w:rsidRPr="006C404E">
              <w:instrText xml:space="preserve"> </w:instrText>
            </w:r>
            <w:r w:rsidRPr="006C404E">
              <w:fldChar w:fldCharType="separate"/>
            </w:r>
            <w:r w:rsidRPr="006C404E">
              <w:rPr>
                <w:noProof/>
              </w:rPr>
              <w:t> </w:t>
            </w:r>
            <w:r w:rsidRPr="006C404E">
              <w:rPr>
                <w:noProof/>
              </w:rPr>
              <w:t> </w:t>
            </w:r>
            <w:r w:rsidRPr="006C404E">
              <w:rPr>
                <w:noProof/>
              </w:rPr>
              <w:t> </w:t>
            </w:r>
            <w:r w:rsidRPr="006C404E">
              <w:rPr>
                <w:noProof/>
              </w:rPr>
              <w:t> </w:t>
            </w:r>
            <w:r w:rsidRPr="006C404E">
              <w:rPr>
                <w:noProof/>
              </w:rPr>
              <w:t> </w:t>
            </w:r>
            <w:r w:rsidRPr="006C404E">
              <w:fldChar w:fldCharType="end"/>
            </w:r>
          </w:p>
        </w:tc>
      </w:tr>
      <w:tr w:rsidR="00D45CA8" w:rsidRPr="00AC2984" w14:paraId="6EEE4B3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8EFB48D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4F6D3DF" w14:textId="77777777" w:rsidTr="00895C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4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6C7FCC1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8824EC5" wp14:editId="1A14CDFC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C8A6C1E" w14:textId="77777777" w:rsidR="00895C7F" w:rsidRPr="00895C7F" w:rsidRDefault="00895C7F" w:rsidP="00895C7F">
            <w:pPr>
              <w:pStyle w:val="Aufzhlung1"/>
            </w:pPr>
            <w:r w:rsidRPr="00895C7F">
              <w:t>Benetzte Kleidung sofort entfernen</w:t>
            </w:r>
          </w:p>
          <w:p w14:paraId="756295B5" w14:textId="77777777" w:rsidR="00895C7F" w:rsidRPr="00895C7F" w:rsidRDefault="00895C7F" w:rsidP="00895C7F">
            <w:pPr>
              <w:pStyle w:val="Aufzhlung1"/>
            </w:pPr>
            <w:r w:rsidRPr="00895C7F">
              <w:t>Betroffene Haut mit Wasser mindestens 15 Minuten unter der Notdusche spülen</w:t>
            </w:r>
          </w:p>
          <w:p w14:paraId="621646A6" w14:textId="77777777" w:rsidR="00895C7F" w:rsidRPr="00895C7F" w:rsidRDefault="00895C7F" w:rsidP="00895C7F">
            <w:pPr>
              <w:pStyle w:val="Aufzhlung1"/>
            </w:pPr>
            <w:r w:rsidRPr="00895C7F">
              <w:t xml:space="preserve">Bei Augenkontakt mit Augendusche oder fließendem Wasser bei gut geöffnetem </w:t>
            </w:r>
            <w:r w:rsidRPr="00895C7F">
              <w:br/>
              <w:t>Lid mindestens 15 Minuten spülen</w:t>
            </w:r>
          </w:p>
          <w:p w14:paraId="0BA13EED" w14:textId="77777777" w:rsidR="00895C7F" w:rsidRPr="00895C7F" w:rsidRDefault="00895C7F" w:rsidP="00895C7F">
            <w:pPr>
              <w:pStyle w:val="Aufzhlung1"/>
            </w:pPr>
            <w:r w:rsidRPr="00895C7F">
              <w:t>Ersthelfer verständigen und sofort Arzt aufsuchen</w:t>
            </w:r>
          </w:p>
          <w:p w14:paraId="6B4D710C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18ACB3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C2AD06D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A8E07D4" w14:textId="77777777" w:rsidTr="00895C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4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4A2490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1495627" w14:textId="77777777" w:rsidR="00895C7F" w:rsidRPr="00895C7F" w:rsidRDefault="00895C7F" w:rsidP="00895C7F">
            <w:pPr>
              <w:pStyle w:val="Aufzhlung1"/>
            </w:pPr>
            <w:r w:rsidRPr="00895C7F">
              <w:t xml:space="preserve">Natronlauge vorsichtig mit viel Wasser verdünnen und im Ausgleichsbecken </w:t>
            </w:r>
            <w:r w:rsidRPr="00895C7F">
              <w:br/>
              <w:t>neutralisieren</w:t>
            </w:r>
          </w:p>
          <w:p w14:paraId="10D97CB9" w14:textId="157ACD18" w:rsidR="00D45CA8" w:rsidRDefault="00895C7F" w:rsidP="00895C7F">
            <w:pPr>
              <w:pStyle w:val="Aufzhlung1"/>
            </w:pPr>
            <w:r w:rsidRPr="00895C7F">
              <w:t>Restmengen sammeln und der ordnungsgemäßen Entsorgung zuführen</w:t>
            </w:r>
          </w:p>
          <w:p w14:paraId="02928892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5CF321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7A5C"/>
    <w:multiLevelType w:val="hybridMultilevel"/>
    <w:tmpl w:val="E7C03FB4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64D07"/>
    <w:multiLevelType w:val="hybridMultilevel"/>
    <w:tmpl w:val="97A86F38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7F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895C7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46FAB"/>
  <w15:chartTrackingRefBased/>
  <w15:docId w15:val="{846EF250-4A45-46D1-8802-B578A23C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284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2025-07-30T15:11:00Z</dcterms:created>
  <dcterms:modified xsi:type="dcterms:W3CDTF">2025-07-30T15:13:00Z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