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0660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50F42007" wp14:editId="407D92E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0629F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B944E1F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385C583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6DF73304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3F6D072E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5865CBEE" w14:textId="77777777" w:rsidTr="007A7809">
        <w:trPr>
          <w:trHeight w:val="2183"/>
        </w:trPr>
        <w:tc>
          <w:tcPr>
            <w:tcW w:w="4526" w:type="dxa"/>
            <w:gridSpan w:val="3"/>
          </w:tcPr>
          <w:p w14:paraId="54B94ABF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2C7939AD" wp14:editId="41A67D8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7575D3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2C3603D5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2BBD61" wp14:editId="480CF154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D57008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2F3DD69A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2FB1C" wp14:editId="28B8219D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4ACEEE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725E8BB6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EE3F9B" wp14:editId="610AE04B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0E4B7E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3022C70B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413AC9A3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0756477D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14012EA6" w14:textId="7BE5EEDE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4B85EB" wp14:editId="615D7F0E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67B86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1E210C" w:rsidRPr="001E210C">
              <w:t>Färbekufe</w:t>
            </w:r>
          </w:p>
          <w:p w14:paraId="0C675E8A" w14:textId="1F190472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E0317F" wp14:editId="65D7C72D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CE74A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1E210C" w:rsidRPr="001E210C">
              <w:t>Färben</w:t>
            </w:r>
          </w:p>
        </w:tc>
        <w:tc>
          <w:tcPr>
            <w:tcW w:w="1914" w:type="dxa"/>
            <w:gridSpan w:val="2"/>
          </w:tcPr>
          <w:p w14:paraId="74A28B80" w14:textId="77777777" w:rsidR="00C108A5" w:rsidRPr="007A7809" w:rsidRDefault="00C108A5" w:rsidP="007A7809">
            <w:pPr>
              <w:spacing w:before="0" w:after="200"/>
            </w:pPr>
          </w:p>
          <w:p w14:paraId="1ACEB69F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0740B4D4" w14:textId="4C3E9928" w:rsidR="00455E1E" w:rsidRPr="007A7809" w:rsidRDefault="001E210C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B131</w:t>
            </w:r>
          </w:p>
        </w:tc>
      </w:tr>
      <w:tr w:rsidR="005C07E8" w:rsidRPr="007A7809" w14:paraId="36D047F8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544D5C06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2D1A1705" w14:textId="77777777" w:rsidTr="001E210C">
        <w:trPr>
          <w:trHeight w:val="667"/>
        </w:trPr>
        <w:tc>
          <w:tcPr>
            <w:tcW w:w="10206" w:type="dxa"/>
            <w:gridSpan w:val="6"/>
            <w:vAlign w:val="center"/>
          </w:tcPr>
          <w:p w14:paraId="6F65BD3F" w14:textId="40894849" w:rsidR="00455E1E" w:rsidRPr="0061164B" w:rsidRDefault="001E210C" w:rsidP="001E210C">
            <w:pPr>
              <w:pStyle w:val="berschrift1"/>
              <w:ind w:left="1191"/>
              <w:jc w:val="left"/>
            </w:pPr>
            <w:r w:rsidRPr="001E210C">
              <w:t>Bedienen der Färbekufe</w:t>
            </w:r>
          </w:p>
        </w:tc>
      </w:tr>
      <w:tr w:rsidR="00C108A5" w:rsidRPr="007A7809" w14:paraId="457DCE28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5CF1DB7A" w14:textId="753BA213" w:rsidR="00C108A5" w:rsidRPr="007A7809" w:rsidRDefault="001E210C" w:rsidP="00995423">
            <w:pPr>
              <w:pStyle w:val="berschrift2"/>
            </w:pPr>
            <w:r w:rsidRPr="001E210C">
              <w:t>Gefahren für Mensch und Umwelt</w:t>
            </w:r>
          </w:p>
        </w:tc>
      </w:tr>
      <w:tr w:rsidR="005C07E8" w:rsidRPr="007A7809" w14:paraId="04FF03FA" w14:textId="77777777" w:rsidTr="001E210C">
        <w:trPr>
          <w:trHeight w:val="1818"/>
        </w:trPr>
        <w:tc>
          <w:tcPr>
            <w:tcW w:w="1204" w:type="dxa"/>
            <w:gridSpan w:val="2"/>
            <w:shd w:val="clear" w:color="auto" w:fill="FFFFFF"/>
          </w:tcPr>
          <w:p w14:paraId="065AB185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  <w:tc>
          <w:tcPr>
            <w:tcW w:w="7727" w:type="dxa"/>
            <w:gridSpan w:val="3"/>
            <w:shd w:val="clear" w:color="auto" w:fill="auto"/>
          </w:tcPr>
          <w:p w14:paraId="6058FEC0" w14:textId="03FCEDA6" w:rsidR="00A358A6" w:rsidRPr="007A7809" w:rsidRDefault="001E210C" w:rsidP="001E210C">
            <w:pPr>
              <w:pStyle w:val="Aufzhlung1"/>
            </w:pPr>
            <w:r w:rsidRPr="001E210C">
              <w:t>Verbrühungen durch austretende Farbflotte</w:t>
            </w:r>
            <w:r w:rsidRPr="001E210C">
              <w:br/>
              <w:t>(Überkochen, Nachverdampfen, Siedeverzug)</w:t>
            </w:r>
          </w:p>
        </w:tc>
        <w:tc>
          <w:tcPr>
            <w:tcW w:w="1275" w:type="dxa"/>
            <w:shd w:val="clear" w:color="auto" w:fill="auto"/>
          </w:tcPr>
          <w:p w14:paraId="5131F7DF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5BB62106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464838C1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6E582CC5" w14:textId="77777777" w:rsidTr="001E210C">
        <w:trPr>
          <w:trHeight w:val="2730"/>
        </w:trPr>
        <w:tc>
          <w:tcPr>
            <w:tcW w:w="1191" w:type="dxa"/>
          </w:tcPr>
          <w:p w14:paraId="751DC602" w14:textId="77777777" w:rsidR="002C1E9B" w:rsidRPr="007A7809" w:rsidRDefault="002C1E9B" w:rsidP="000870E8">
            <w:pPr>
              <w:spacing w:line="240" w:lineRule="auto"/>
              <w:jc w:val="center"/>
            </w:pPr>
          </w:p>
        </w:tc>
        <w:tc>
          <w:tcPr>
            <w:tcW w:w="7740" w:type="dxa"/>
            <w:gridSpan w:val="4"/>
          </w:tcPr>
          <w:p w14:paraId="670476D4" w14:textId="77777777" w:rsidR="001E210C" w:rsidRPr="004B1BDD" w:rsidRDefault="001E210C" w:rsidP="001E210C">
            <w:pPr>
              <w:pStyle w:val="Aufzhlung1"/>
            </w:pPr>
            <w:r>
              <w:t>Regelmäßige Kontrolle der Filterdeckelverriegelung und der Filterdeckelsitze.</w:t>
            </w:r>
          </w:p>
          <w:p w14:paraId="314FA265" w14:textId="3B46EA78" w:rsidR="001E210C" w:rsidRPr="004B1BDD" w:rsidRDefault="001E210C" w:rsidP="001E210C">
            <w:pPr>
              <w:pStyle w:val="Aufzhlung1"/>
            </w:pPr>
            <w:r>
              <w:t xml:space="preserve">Bei Arbeiten an der Kufe, wie Richtarbeiten an der Ware und Kontrollieren, </w:t>
            </w:r>
            <w:r>
              <w:br/>
              <w:t>immer erst:</w:t>
            </w:r>
          </w:p>
          <w:p w14:paraId="5715CE70" w14:textId="77DE47DE" w:rsidR="001E210C" w:rsidRDefault="001E210C" w:rsidP="001E210C">
            <w:pPr>
              <w:pStyle w:val="Aufzhlung2"/>
            </w:pPr>
            <w:proofErr w:type="spellStart"/>
            <w:r w:rsidRPr="004B1BDD">
              <w:t>Haspel</w:t>
            </w:r>
            <w:r>
              <w:t>kufenantrieb</w:t>
            </w:r>
            <w:proofErr w:type="spellEnd"/>
            <w:r>
              <w:t xml:space="preserve"> ausschalten.</w:t>
            </w:r>
          </w:p>
          <w:p w14:paraId="7A9D7F0B" w14:textId="4B5B1218" w:rsidR="001E210C" w:rsidRDefault="001E210C" w:rsidP="001E210C">
            <w:pPr>
              <w:pStyle w:val="Aufzhlung2"/>
            </w:pPr>
            <w:r>
              <w:t>Pumpenantrieb ausschalten.</w:t>
            </w:r>
          </w:p>
          <w:p w14:paraId="12422AF9" w14:textId="1E659D0E" w:rsidR="002C1E9B" w:rsidRPr="0061164B" w:rsidRDefault="001E210C" w:rsidP="001E210C">
            <w:pPr>
              <w:pStyle w:val="Aufzhlung2"/>
            </w:pPr>
            <w:r>
              <w:t>Zeitraum des Pumpennachlaufs abwarten (Gefahr der Nachverdampfung).</w:t>
            </w:r>
          </w:p>
        </w:tc>
        <w:tc>
          <w:tcPr>
            <w:tcW w:w="1275" w:type="dxa"/>
          </w:tcPr>
          <w:p w14:paraId="0F7749D5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55A19BE3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47BA6AD7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63F964D1" w14:textId="77777777" w:rsidTr="007A7809">
        <w:trPr>
          <w:trHeight w:val="1125"/>
        </w:trPr>
        <w:tc>
          <w:tcPr>
            <w:tcW w:w="1191" w:type="dxa"/>
          </w:tcPr>
          <w:p w14:paraId="33E62EE1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20A1384B" w14:textId="621861B7" w:rsidR="00455E1E" w:rsidRPr="007A7809" w:rsidRDefault="001E210C" w:rsidP="001E210C">
            <w:pPr>
              <w:pStyle w:val="Aufzhlung1"/>
            </w:pPr>
            <w:r w:rsidRPr="001E210C">
              <w:t xml:space="preserve">Störungen bzw. fehlerhafte Maschinenfunktionen umgehend Meister melden, </w:t>
            </w:r>
            <w:r w:rsidRPr="001E210C">
              <w:br/>
              <w:t>keinesfalls eigene Versuche zur Fehlerbeseitigung durchführen.</w:t>
            </w:r>
          </w:p>
        </w:tc>
      </w:tr>
      <w:tr w:rsidR="00455E1E" w:rsidRPr="007A7809" w14:paraId="476B5820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719DA261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48D75DAD" w14:textId="77777777" w:rsidTr="001E210C">
        <w:trPr>
          <w:trHeight w:val="2671"/>
        </w:trPr>
        <w:tc>
          <w:tcPr>
            <w:tcW w:w="1191" w:type="dxa"/>
          </w:tcPr>
          <w:p w14:paraId="7C20AB3F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2200F4B9" wp14:editId="19B91BDA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0C56981C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7112946B" w14:textId="77777777" w:rsidR="001E210C" w:rsidRDefault="001E210C" w:rsidP="001E210C">
            <w:pPr>
              <w:pStyle w:val="Aufzhlung1"/>
            </w:pPr>
            <w:r>
              <w:t>Energiezufuhr abschalten.</w:t>
            </w:r>
          </w:p>
          <w:p w14:paraId="70D4C25B" w14:textId="77777777" w:rsidR="001E210C" w:rsidRDefault="001E210C" w:rsidP="001E210C">
            <w:pPr>
              <w:pStyle w:val="Aufzhlung1"/>
            </w:pPr>
            <w:r>
              <w:t>Verletzten bergen.</w:t>
            </w:r>
          </w:p>
          <w:p w14:paraId="2D311612" w14:textId="77777777" w:rsidR="001E210C" w:rsidRDefault="001E210C" w:rsidP="001E210C">
            <w:pPr>
              <w:pStyle w:val="Aufzhlung1"/>
            </w:pPr>
            <w:r w:rsidRPr="0078691C">
              <w:t xml:space="preserve">Erste Hilfe </w:t>
            </w:r>
            <w:r>
              <w:t>leisten.</w:t>
            </w:r>
          </w:p>
          <w:p w14:paraId="4F287180" w14:textId="36EA1805" w:rsidR="001E210C" w:rsidRPr="009A7C19" w:rsidRDefault="001E210C" w:rsidP="001E210C">
            <w:pPr>
              <w:pStyle w:val="Aufzhlung1"/>
            </w:pPr>
            <w:r>
              <w:t>Verbrühte Hautflächen umgehend mit kaltem, sauberem Wasser abduschen.</w:t>
            </w:r>
          </w:p>
          <w:p w14:paraId="71162656" w14:textId="5D9727D8" w:rsidR="002D4FA2" w:rsidRPr="007A7809" w:rsidRDefault="001E210C" w:rsidP="001E210C">
            <w:pPr>
              <w:pStyle w:val="Aufzhlung1"/>
            </w:pPr>
            <w:r>
              <w:rPr>
                <w:color w:val="000000"/>
              </w:rPr>
              <w:t>Rettung einleiten.</w:t>
            </w:r>
          </w:p>
          <w:p w14:paraId="79C9ABF9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4E8197AD" w14:textId="77777777" w:rsidTr="007A7809">
        <w:tc>
          <w:tcPr>
            <w:tcW w:w="10206" w:type="dxa"/>
            <w:gridSpan w:val="6"/>
            <w:shd w:val="clear" w:color="auto" w:fill="084267"/>
          </w:tcPr>
          <w:p w14:paraId="0931972F" w14:textId="738BF1B8" w:rsidR="00455E1E" w:rsidRPr="007A7809" w:rsidRDefault="001E210C" w:rsidP="00995423">
            <w:pPr>
              <w:pStyle w:val="berschrift2"/>
            </w:pPr>
            <w:r w:rsidRPr="001E210C">
              <w:t>Instandhaltung, Entsorgung</w:t>
            </w:r>
          </w:p>
        </w:tc>
      </w:tr>
      <w:tr w:rsidR="00455E1E" w:rsidRPr="007A7809" w14:paraId="776E8E48" w14:textId="77777777" w:rsidTr="007A7809">
        <w:trPr>
          <w:trHeight w:val="1020"/>
        </w:trPr>
        <w:tc>
          <w:tcPr>
            <w:tcW w:w="1191" w:type="dxa"/>
          </w:tcPr>
          <w:p w14:paraId="5CA4AB20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3445DE51" w14:textId="65D6236B" w:rsidR="00455E1E" w:rsidRPr="007A7809" w:rsidRDefault="001E210C" w:rsidP="001E210C">
            <w:pPr>
              <w:pStyle w:val="Aufzhlung1"/>
            </w:pPr>
            <w:r w:rsidRPr="001E210C">
              <w:t>Instandhaltung nur durch Werkstattpersonal.</w:t>
            </w:r>
          </w:p>
        </w:tc>
      </w:tr>
    </w:tbl>
    <w:p w14:paraId="67555D96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0C"/>
    <w:rsid w:val="00051ECC"/>
    <w:rsid w:val="000870E8"/>
    <w:rsid w:val="001A3BDF"/>
    <w:rsid w:val="001B4335"/>
    <w:rsid w:val="001E1023"/>
    <w:rsid w:val="001E210C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AC6A39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07AFC"/>
  <w15:chartTrackingRefBased/>
  <w15:docId w15:val="{553687A0-95C1-438E-A41A-5AD9174D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AC6A39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1E210C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142</Words>
  <Characters>1286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2</cp:revision>
  <cp:lastPrinted>2009-04-29T09:20:00Z</cp:lastPrinted>
  <dcterms:created xsi:type="dcterms:W3CDTF">2025-08-04T14:44:00Z</dcterms:created>
  <dcterms:modified xsi:type="dcterms:W3CDTF">2025-08-04T15:21:00Z</dcterms:modified>
</cp:coreProperties>
</file>