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AF48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4DC309B" wp14:editId="2E4170F8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70B89" w14:textId="77777777" w:rsidR="00564C7D" w:rsidRPr="00B836B7" w:rsidRDefault="00564C7D">
      <w:pPr>
        <w:spacing w:before="0"/>
        <w:rPr>
          <w:sz w:val="8"/>
        </w:rPr>
      </w:pPr>
    </w:p>
    <w:p w14:paraId="51527151" w14:textId="77777777" w:rsidR="00564C7D" w:rsidRPr="00B836B7" w:rsidRDefault="00564C7D">
      <w:pPr>
        <w:spacing w:before="0"/>
        <w:rPr>
          <w:sz w:val="8"/>
        </w:rPr>
      </w:pPr>
    </w:p>
    <w:p w14:paraId="62D21581" w14:textId="77777777" w:rsidR="00564C7D" w:rsidRPr="00B836B7" w:rsidRDefault="00564C7D">
      <w:pPr>
        <w:spacing w:before="0"/>
        <w:rPr>
          <w:sz w:val="8"/>
        </w:rPr>
      </w:pPr>
    </w:p>
    <w:p w14:paraId="308FD0FA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1850DBDE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722ADE73" w14:textId="77777777" w:rsidTr="001656EB">
        <w:trPr>
          <w:trHeight w:val="2437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710F8D57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1F979896" wp14:editId="15C578B4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AE3D8F" w14:textId="77777777" w:rsidR="00B836B7" w:rsidRPr="00AC2984" w:rsidRDefault="00B836B7" w:rsidP="00AC2984">
            <w:pPr>
              <w:spacing w:before="80"/>
            </w:pPr>
          </w:p>
          <w:p w14:paraId="437C9A00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3B44C6F" wp14:editId="46E51D42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17D62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1E2CC001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EA04C22" wp14:editId="4695A86A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37B3C1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35CE9D36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66AD235" wp14:editId="7B0F2413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EDE76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5271F8F5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7968AEC2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40054DED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268B43E8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47B8E7B5" w14:textId="15FBFCF6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1656EB" w:rsidRPr="001656EB">
              <w:t>Desinfektionsplatz</w:t>
            </w:r>
          </w:p>
          <w:p w14:paraId="1B9DEF16" w14:textId="5F45F5E7" w:rsidR="00D45CA8" w:rsidRPr="00AC2984" w:rsidRDefault="00D45CA8" w:rsidP="001656EB">
            <w:pPr>
              <w:spacing w:before="100" w:after="60"/>
            </w:pPr>
            <w:r w:rsidRPr="00AC2984">
              <w:t xml:space="preserve">Tätigkeit: </w:t>
            </w:r>
            <w:r w:rsidR="001656EB">
              <w:t xml:space="preserve">Desinfizierung von </w:t>
            </w:r>
            <w:r w:rsidR="001656EB">
              <w:br/>
            </w:r>
            <w:r w:rsidR="001656EB">
              <w:t>Abformungen und zahntechn</w:t>
            </w:r>
            <w:r w:rsidR="001656EB">
              <w:t>ischen</w:t>
            </w:r>
            <w:r w:rsidR="001656EB">
              <w:t xml:space="preserve"> </w:t>
            </w:r>
            <w:r w:rsidR="001656EB">
              <w:br/>
            </w:r>
            <w:r w:rsidR="001656EB">
              <w:t>Werkstücken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14E9DACA" w14:textId="77777777" w:rsidR="00B836B7" w:rsidRPr="00AC2984" w:rsidRDefault="00B836B7" w:rsidP="00C9224C">
            <w:pPr>
              <w:spacing w:before="80" w:after="140"/>
            </w:pPr>
          </w:p>
          <w:p w14:paraId="6A7B28E8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11DD4EF6" w14:textId="4B806407" w:rsidR="00D45CA8" w:rsidRPr="00AC2984" w:rsidRDefault="001656EB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B045</w:t>
            </w:r>
          </w:p>
        </w:tc>
      </w:tr>
      <w:tr w:rsidR="00D45CA8" w:rsidRPr="00AC2984" w14:paraId="5A4AF0DD" w14:textId="77777777" w:rsidTr="001656EB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1A4CC9F" w14:textId="77777777" w:rsidR="00D45CA8" w:rsidRPr="00AC2984" w:rsidRDefault="00D45CA8" w:rsidP="001656EB">
            <w:pPr>
              <w:pStyle w:val="berschrift3"/>
              <w:spacing w:before="0" w:after="0"/>
            </w:pPr>
            <w:r w:rsidRPr="00E118EC">
              <w:t>Gefahrstoffbezeichnung</w:t>
            </w:r>
          </w:p>
        </w:tc>
      </w:tr>
      <w:tr w:rsidR="00D45CA8" w:rsidRPr="00AC2984" w14:paraId="156D275E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080726EE" w14:textId="412E8C6E" w:rsidR="00D45CA8" w:rsidRPr="001656EB" w:rsidRDefault="001656EB" w:rsidP="001656EB">
            <w:pPr>
              <w:pStyle w:val="berschrift3"/>
              <w:ind w:left="1191"/>
              <w:jc w:val="left"/>
              <w:rPr>
                <w:sz w:val="20"/>
                <w:szCs w:val="20"/>
              </w:rPr>
            </w:pPr>
            <w:r w:rsidRPr="001656EB">
              <w:rPr>
                <w:sz w:val="24"/>
                <w:szCs w:val="24"/>
              </w:rPr>
              <w:t xml:space="preserve">Bezeichnung des Desinfektionsmittels </w:t>
            </w:r>
            <w:r w:rsidRPr="001656EB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56EB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1656EB">
              <w:rPr>
                <w:sz w:val="24"/>
                <w:szCs w:val="24"/>
                <w:u w:val="single"/>
              </w:rPr>
            </w:r>
            <w:r w:rsidRPr="001656EB">
              <w:rPr>
                <w:sz w:val="24"/>
                <w:szCs w:val="24"/>
                <w:u w:val="single"/>
              </w:rPr>
              <w:fldChar w:fldCharType="separate"/>
            </w:r>
            <w:r w:rsidRPr="001656EB">
              <w:rPr>
                <w:sz w:val="24"/>
                <w:szCs w:val="24"/>
                <w:u w:val="single"/>
              </w:rPr>
              <w:t> </w:t>
            </w:r>
            <w:r w:rsidRPr="001656EB">
              <w:rPr>
                <w:sz w:val="24"/>
                <w:szCs w:val="24"/>
                <w:u w:val="single"/>
              </w:rPr>
              <w:t> </w:t>
            </w:r>
            <w:r w:rsidRPr="001656EB">
              <w:rPr>
                <w:sz w:val="24"/>
                <w:szCs w:val="24"/>
                <w:u w:val="single"/>
              </w:rPr>
              <w:t> </w:t>
            </w:r>
            <w:r w:rsidRPr="001656EB">
              <w:rPr>
                <w:sz w:val="24"/>
                <w:szCs w:val="24"/>
                <w:u w:val="single"/>
              </w:rPr>
              <w:t> </w:t>
            </w:r>
            <w:r w:rsidRPr="001656EB">
              <w:rPr>
                <w:sz w:val="24"/>
                <w:szCs w:val="24"/>
                <w:u w:val="single"/>
              </w:rPr>
              <w:t> </w:t>
            </w:r>
            <w:r w:rsidRPr="001656EB">
              <w:rPr>
                <w:sz w:val="24"/>
                <w:szCs w:val="24"/>
              </w:rPr>
              <w:fldChar w:fldCharType="end"/>
            </w:r>
            <w:r>
              <w:br/>
            </w:r>
            <w:r w:rsidRPr="001656EB">
              <w:rPr>
                <w:sz w:val="20"/>
                <w:szCs w:val="20"/>
              </w:rPr>
              <w:t xml:space="preserve">Krankheitserreger, die mit Speichel und/oder Blut übertragen werden können </w:t>
            </w:r>
            <w:r w:rsidRPr="001656EB">
              <w:rPr>
                <w:sz w:val="20"/>
                <w:szCs w:val="20"/>
              </w:rPr>
              <w:br/>
              <w:t>(z. B. Streptokokken, Hepatitis B und C-Viren)</w:t>
            </w:r>
          </w:p>
        </w:tc>
      </w:tr>
      <w:tr w:rsidR="00D45CA8" w:rsidRPr="00AC2984" w14:paraId="734500FA" w14:textId="77777777" w:rsidTr="001656EB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04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78C0FC0" w14:textId="77777777" w:rsidR="00D45CA8" w:rsidRPr="00AC2984" w:rsidRDefault="00D45CA8" w:rsidP="001656EB">
            <w:pPr>
              <w:pStyle w:val="berschrift3"/>
              <w:spacing w:before="0" w:after="0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509B3CD" w14:textId="77777777" w:rsidTr="001656E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9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9437AEB" w14:textId="54D6B757" w:rsidR="00D45CA8" w:rsidRDefault="001656EB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3C5523E2" wp14:editId="324C46E1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CF6C33" w14:textId="47B530E5" w:rsidR="00CF5E5C" w:rsidRPr="00CF5E5C" w:rsidRDefault="001656EB" w:rsidP="001656EB">
            <w:pPr>
              <w:spacing w:after="60" w:line="240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Achtung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7C80332" w14:textId="23F63B23" w:rsidR="001656EB" w:rsidRPr="001656EB" w:rsidRDefault="001656EB" w:rsidP="001656EB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1656EB">
              <w:rPr>
                <w:sz w:val="18"/>
                <w:szCs w:val="18"/>
              </w:rPr>
              <w:t xml:space="preserve">Desinfektionsmittel verursacht schwere Augenreizungen und kann nach </w:t>
            </w:r>
            <w:r w:rsidRPr="001656EB">
              <w:rPr>
                <w:sz w:val="18"/>
                <w:szCs w:val="18"/>
              </w:rPr>
              <w:br/>
            </w:r>
            <w:r w:rsidRPr="001656EB">
              <w:rPr>
                <w:sz w:val="18"/>
                <w:szCs w:val="18"/>
              </w:rPr>
              <w:t>Hautkontakt sensibilisierend wirken</w:t>
            </w:r>
          </w:p>
          <w:p w14:paraId="6C76D0C4" w14:textId="2E1CDA7A" w:rsidR="00E118EC" w:rsidRPr="00AC2984" w:rsidRDefault="001656EB" w:rsidP="001656EB">
            <w:pPr>
              <w:pStyle w:val="Aufzhlung1"/>
              <w:spacing w:line="220" w:lineRule="exact"/>
            </w:pPr>
            <w:r w:rsidRPr="001656EB">
              <w:rPr>
                <w:sz w:val="18"/>
                <w:szCs w:val="18"/>
              </w:rPr>
              <w:t xml:space="preserve">mögliche Übertragung von Krankheiten durch Hautkontakt mit infektiös </w:t>
            </w:r>
            <w:r w:rsidRPr="001656EB">
              <w:rPr>
                <w:sz w:val="18"/>
                <w:szCs w:val="18"/>
              </w:rPr>
              <w:br/>
            </w:r>
            <w:r w:rsidRPr="001656EB">
              <w:rPr>
                <w:sz w:val="18"/>
                <w:szCs w:val="18"/>
              </w:rPr>
              <w:t>kontaminierten Werkstücken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533F34E" w14:textId="1243BB4D" w:rsidR="00D45CA8" w:rsidRPr="00CF1947" w:rsidRDefault="001656EB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6E41CA">
              <w:rPr>
                <w:noProof/>
              </w:rPr>
              <w:drawing>
                <wp:inline distT="0" distB="0" distL="0" distR="0" wp14:anchorId="1EE5FC8E" wp14:editId="6F4FB85B">
                  <wp:extent cx="612000" cy="538371"/>
                  <wp:effectExtent l="0" t="0" r="0" b="0"/>
                  <wp:docPr id="2" name="Grafik 2" descr="O:\HV_RD_TOE\Töller\Sicherheitszeichen\Sicherheitszeichen von RBB erstellt\000_BMP_RGB_72dpi\w009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" descr="O:\HV_RD_TOE\Töller\Sicherheitszeichen\Sicherheitszeichen von RBB erstellt\000_BMP_RGB_72dpi\w009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8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6FB8DD10" w14:textId="77777777" w:rsidTr="001656EB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043AFB6" w14:textId="77777777" w:rsidR="00D45CA8" w:rsidRPr="00AC2984" w:rsidRDefault="00D45CA8" w:rsidP="001656EB">
            <w:pPr>
              <w:pStyle w:val="berschrift3"/>
              <w:spacing w:before="0" w:after="0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75EA832F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1FB28F6" w14:textId="77777777" w:rsidR="00D45CA8" w:rsidRDefault="001656EB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6E41CA">
              <w:rPr>
                <w:noProof/>
              </w:rPr>
              <w:drawing>
                <wp:inline distT="0" distB="0" distL="0" distR="0" wp14:anchorId="7A11E84F" wp14:editId="7E8E10F4">
                  <wp:extent cx="612000" cy="612000"/>
                  <wp:effectExtent l="0" t="0" r="0" b="0"/>
                  <wp:docPr id="3" name="Grafik 3" descr="O:\HV_RD_TOE\Töller\Sicherheitszeichen\Sicherheitszeichen von RBB erstellt\000_BMP_RGB_72dpi\m004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O:\HV_RD_TOE\Töller\Sicherheitszeichen\Sicherheitszeichen von RBB erstellt\000_BMP_RGB_72dpi\m004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A1BDF5" w14:textId="77777777" w:rsidR="001656EB" w:rsidRDefault="001656EB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6E41CA">
              <w:rPr>
                <w:noProof/>
              </w:rPr>
              <w:drawing>
                <wp:inline distT="0" distB="0" distL="0" distR="0" wp14:anchorId="4B5F4CC5" wp14:editId="5C1EB8AE">
                  <wp:extent cx="612000" cy="612000"/>
                  <wp:effectExtent l="0" t="0" r="0" b="0"/>
                  <wp:docPr id="4" name="Grafik 4" descr="O:\HV_RD_TOE\Töller\Sicherheitszeichen\Sicherheitszeichen von RBB erstellt\000_BMP_RGB_72dpi\m009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 descr="O:\HV_RD_TOE\Töller\Sicherheitszeichen\Sicherheitszeichen von RBB erstellt\000_BMP_RGB_72dpi\m009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5AA12" w14:textId="196AF640" w:rsidR="001656EB" w:rsidRPr="00AC2984" w:rsidRDefault="001656EB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6E41CA">
              <w:rPr>
                <w:noProof/>
              </w:rPr>
              <w:drawing>
                <wp:inline distT="0" distB="0" distL="0" distR="0" wp14:anchorId="1C0112D8" wp14:editId="2A59E758">
                  <wp:extent cx="612000" cy="612000"/>
                  <wp:effectExtent l="0" t="0" r="0" b="0"/>
                  <wp:docPr id="5" name="Grafik 5" descr="O:\HV_RD_TOE\Töller\Sicherheitszeichen\Sicherheitszeichen von RBB erstellt\000_BMP_RGB_72dpi\m010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 descr="O:\HV_RD_TOE\Töller\Sicherheitszeichen\Sicherheitszeichen von RBB erstellt\000_BMP_RGB_72dpi\m010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7EB263C" w14:textId="77777777" w:rsidR="001656EB" w:rsidRPr="001656EB" w:rsidRDefault="001656EB" w:rsidP="001656EB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1656EB">
              <w:rPr>
                <w:sz w:val="18"/>
                <w:szCs w:val="18"/>
              </w:rPr>
              <w:t>Die eingehenden mikrobiell kontaminierten Materialien (z. B. Abformungen, zahntechnische Werkstücke) dürfen nur am Desinfektionsplatz entnommen, desinfiziert, gereinigt und gespült werden.</w:t>
            </w:r>
          </w:p>
          <w:p w14:paraId="23269DB2" w14:textId="77777777" w:rsidR="001656EB" w:rsidRPr="001656EB" w:rsidRDefault="001656EB" w:rsidP="001656EB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1656EB">
              <w:rPr>
                <w:sz w:val="18"/>
                <w:szCs w:val="18"/>
              </w:rPr>
              <w:t>Um Hautkontakt mit Krankheitserregern weitgehend auszuschließen, müssen kontaminierte Materialien mit Greifzange und Eintauchkorb bewegt werden.</w:t>
            </w:r>
          </w:p>
          <w:p w14:paraId="1B7C7D99" w14:textId="77777777" w:rsidR="001656EB" w:rsidRPr="001656EB" w:rsidRDefault="001656EB" w:rsidP="001656EB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1656EB">
              <w:rPr>
                <w:sz w:val="18"/>
                <w:szCs w:val="18"/>
              </w:rPr>
              <w:t>Erforderliche Desinfektionsdauer gemäß Benutzerinformation für die Desinfektionseinrichtung und Desinfektionslösung beachten.</w:t>
            </w:r>
          </w:p>
          <w:p w14:paraId="11EB1872" w14:textId="7A1A48CD" w:rsidR="001656EB" w:rsidRPr="001656EB" w:rsidRDefault="001656EB" w:rsidP="001656EB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1656EB">
              <w:rPr>
                <w:sz w:val="18"/>
                <w:szCs w:val="18"/>
              </w:rPr>
              <w:t xml:space="preserve">Desinfizierte Materialien und mikrobiell kontaminierte (nicht desinfizierte) Materialien sind </w:t>
            </w:r>
            <w:r>
              <w:rPr>
                <w:sz w:val="18"/>
                <w:szCs w:val="18"/>
              </w:rPr>
              <w:br/>
            </w:r>
            <w:r w:rsidRPr="001656EB">
              <w:rPr>
                <w:sz w:val="18"/>
                <w:szCs w:val="18"/>
              </w:rPr>
              <w:t xml:space="preserve">getrennt </w:t>
            </w:r>
            <w:r w:rsidRPr="001656EB">
              <w:rPr>
                <w:sz w:val="18"/>
                <w:szCs w:val="18"/>
              </w:rPr>
              <w:t>voneinander</w:t>
            </w:r>
            <w:r w:rsidRPr="001656EB">
              <w:rPr>
                <w:sz w:val="18"/>
                <w:szCs w:val="18"/>
              </w:rPr>
              <w:t xml:space="preserve"> abzulegen und zu handhaben.</w:t>
            </w:r>
          </w:p>
          <w:p w14:paraId="03159A4B" w14:textId="5D67E29F" w:rsidR="001656EB" w:rsidRPr="001656EB" w:rsidRDefault="001656EB" w:rsidP="001656EB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1656EB">
              <w:rPr>
                <w:sz w:val="18"/>
                <w:szCs w:val="18"/>
              </w:rPr>
              <w:t xml:space="preserve">Arbeits- und Ablageflächen des Desinfektionsplatzes sowie Oberflächen von Desinfektionseinrichtungen und Beschickungshilfen sind mindestens arbeitstäglich zu desinfizieren und </w:t>
            </w:r>
            <w:r>
              <w:rPr>
                <w:sz w:val="18"/>
                <w:szCs w:val="18"/>
              </w:rPr>
              <w:br/>
            </w:r>
            <w:r w:rsidRPr="001656EB">
              <w:rPr>
                <w:sz w:val="18"/>
                <w:szCs w:val="18"/>
              </w:rPr>
              <w:t>zu reinigen.</w:t>
            </w:r>
          </w:p>
          <w:p w14:paraId="6ECCF0A8" w14:textId="77777777" w:rsidR="001656EB" w:rsidRPr="001656EB" w:rsidRDefault="001656EB" w:rsidP="001656EB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1656EB">
              <w:rPr>
                <w:sz w:val="18"/>
                <w:szCs w:val="18"/>
              </w:rPr>
              <w:t>Blaue flüssigkeitsdichte Schutzhandschuhe (Nitril) benutzen.</w:t>
            </w:r>
          </w:p>
          <w:p w14:paraId="47394CD4" w14:textId="77777777" w:rsidR="001656EB" w:rsidRPr="001656EB" w:rsidRDefault="001656EB" w:rsidP="001656EB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1656EB">
              <w:rPr>
                <w:sz w:val="18"/>
                <w:szCs w:val="18"/>
              </w:rPr>
              <w:t>Vor den Pausen und bei Arbeitsende ist eine Händedesinfektion erforderlich.</w:t>
            </w:r>
          </w:p>
          <w:p w14:paraId="7C452BDE" w14:textId="77777777" w:rsidR="001656EB" w:rsidRPr="001656EB" w:rsidRDefault="001656EB" w:rsidP="001656EB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1656EB">
              <w:rPr>
                <w:sz w:val="18"/>
                <w:szCs w:val="18"/>
              </w:rPr>
              <w:t>Das Ess-, Trink- und Rauchverbot ist zu beachten.</w:t>
            </w:r>
          </w:p>
          <w:p w14:paraId="04B0CF19" w14:textId="77777777" w:rsidR="001656EB" w:rsidRPr="001656EB" w:rsidRDefault="001656EB" w:rsidP="001656EB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1656EB">
              <w:rPr>
                <w:sz w:val="18"/>
                <w:szCs w:val="18"/>
              </w:rPr>
              <w:t>Nahrungs- und Genussmittel dürfen nicht am Arbeitsplatz aufbewahrt werden.</w:t>
            </w:r>
          </w:p>
          <w:p w14:paraId="0E05B7D8" w14:textId="21743909" w:rsidR="001656EB" w:rsidRPr="001656EB" w:rsidRDefault="001656EB" w:rsidP="001656EB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1656EB">
              <w:rPr>
                <w:sz w:val="18"/>
                <w:szCs w:val="18"/>
              </w:rPr>
              <w:t>Keine Ringe, Schmuckstücke oder Uhren während der Tätigkeit tragen.</w:t>
            </w:r>
          </w:p>
          <w:p w14:paraId="0C6A9112" w14:textId="02BCD6E1" w:rsidR="001656EB" w:rsidRPr="001656EB" w:rsidRDefault="001656EB" w:rsidP="001656EB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1656EB">
              <w:rPr>
                <w:sz w:val="18"/>
                <w:szCs w:val="18"/>
              </w:rPr>
              <w:t>Wahrnehmen der arbeitsmedizinischen Vorsorge.</w:t>
            </w:r>
          </w:p>
          <w:p w14:paraId="4E5A46BC" w14:textId="218C2997" w:rsidR="00D45CA8" w:rsidRPr="00AC2984" w:rsidRDefault="001656EB" w:rsidP="001656EB">
            <w:pPr>
              <w:pStyle w:val="Aufzhlung1"/>
              <w:spacing w:line="220" w:lineRule="exact"/>
            </w:pPr>
            <w:r w:rsidRPr="001656EB">
              <w:rPr>
                <w:sz w:val="18"/>
                <w:szCs w:val="18"/>
              </w:rPr>
              <w:t>Schwangere dürfen mit diesen Tätigkeiten nicht beschäftigt werden.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3D3F36A" w14:textId="77777777" w:rsidR="00D45CA8" w:rsidRDefault="001656EB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6E41CA">
              <w:rPr>
                <w:noProof/>
              </w:rPr>
              <w:drawing>
                <wp:inline distT="0" distB="0" distL="0" distR="0" wp14:anchorId="69F9D3FC" wp14:editId="45C021D5">
                  <wp:extent cx="612000" cy="612000"/>
                  <wp:effectExtent l="0" t="0" r="0" b="0"/>
                  <wp:docPr id="6" name="Grafik 6" descr="O:\HV_RD_TOE\Töller\Sicherheitszeichen\Sicherheitszeichen von RBB erstellt\000_BMP_RGB_72dpi\p022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9" descr="O:\HV_RD_TOE\Töller\Sicherheitszeichen\Sicherheitszeichen von RBB erstellt\000_BMP_RGB_72dpi\p022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7E19" w14:textId="37B83F1E" w:rsidR="001656EB" w:rsidRPr="00CF1947" w:rsidRDefault="001656EB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6E41CA">
              <w:rPr>
                <w:noProof/>
              </w:rPr>
              <w:drawing>
                <wp:inline distT="0" distB="0" distL="0" distR="0" wp14:anchorId="1D2D9339" wp14:editId="02AC22C3">
                  <wp:extent cx="612000" cy="612000"/>
                  <wp:effectExtent l="0" t="0" r="0" b="0"/>
                  <wp:docPr id="7" name="Grafik 7" descr="O:\HV_RD_TOE\Töller\Sicherheitszeichen\Sicherheitszeichen von RBB erstellt\000_BMP_RGB_72dpi\p002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 descr="O:\HV_RD_TOE\Töller\Sicherheitszeichen\Sicherheitszeichen von RBB erstellt\000_BMP_RGB_72dpi\p002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5E246332" w14:textId="77777777" w:rsidTr="001656EB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0B796E3" w14:textId="77777777" w:rsidR="00D45CA8" w:rsidRPr="00AC2984" w:rsidRDefault="00D45CA8" w:rsidP="001656EB">
            <w:pPr>
              <w:pStyle w:val="berschrift3"/>
              <w:spacing w:before="0" w:after="0"/>
            </w:pPr>
            <w:r w:rsidRPr="00AC2984">
              <w:t>Verhalten im Gefahrfall</w:t>
            </w:r>
          </w:p>
        </w:tc>
      </w:tr>
      <w:tr w:rsidR="00D45CA8" w:rsidRPr="00AC2984" w14:paraId="00B6CBC8" w14:textId="77777777" w:rsidTr="001656E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89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34FE621C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31AE4E7E" w14:textId="77777777" w:rsidR="001656EB" w:rsidRPr="001656EB" w:rsidRDefault="001656EB" w:rsidP="001656EB">
            <w:pPr>
              <w:pStyle w:val="Aufzhlung1"/>
              <w:spacing w:line="220" w:lineRule="exact"/>
              <w:rPr>
                <w:b/>
                <w:color w:val="000000"/>
                <w:sz w:val="18"/>
                <w:szCs w:val="18"/>
              </w:rPr>
            </w:pPr>
            <w:r w:rsidRPr="001656EB">
              <w:rPr>
                <w:sz w:val="18"/>
                <w:szCs w:val="18"/>
              </w:rPr>
              <w:t xml:space="preserve">Nach Verschütten/Auslaufen kleinerer Mengen mit Wasser wegspülen. Große Mengen </w:t>
            </w:r>
            <w:r w:rsidRPr="001656EB">
              <w:rPr>
                <w:sz w:val="18"/>
                <w:szCs w:val="18"/>
              </w:rPr>
              <w:br/>
              <w:t>mit flüssigkeitsbindendem Material aufnehmen. Bei Störungen Vorgesetzten info</w:t>
            </w:r>
            <w:r w:rsidRPr="001656EB">
              <w:rPr>
                <w:sz w:val="18"/>
                <w:szCs w:val="18"/>
              </w:rPr>
              <w:t>r</w:t>
            </w:r>
            <w:r w:rsidRPr="001656EB">
              <w:rPr>
                <w:sz w:val="18"/>
                <w:szCs w:val="18"/>
              </w:rPr>
              <w:t>mieren.</w:t>
            </w:r>
          </w:p>
          <w:p w14:paraId="1E06AA0F" w14:textId="070611D7" w:rsidR="00D45CA8" w:rsidRPr="00AC2984" w:rsidRDefault="001656EB" w:rsidP="001656EB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5CA8" w:rsidRPr="00AC2984" w14:paraId="4892BC9C" w14:textId="77777777" w:rsidTr="001656EB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FB47252" w14:textId="77777777" w:rsidR="00D45CA8" w:rsidRPr="00AC2984" w:rsidRDefault="00D45CA8" w:rsidP="001656EB">
            <w:pPr>
              <w:pStyle w:val="berschrift3"/>
              <w:spacing w:before="0" w:after="0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2B6D71CD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05A859D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0EE7F19B" wp14:editId="732C6ECB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64D5305" w14:textId="77777777" w:rsidR="001656EB" w:rsidRPr="001656EB" w:rsidRDefault="001656EB" w:rsidP="001656EB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1656EB">
              <w:rPr>
                <w:sz w:val="18"/>
                <w:szCs w:val="18"/>
              </w:rPr>
              <w:t xml:space="preserve">Bei Kontakt mit infektiösen Materialien die betroffenen Hautbereiche sofort desinfizieren und </w:t>
            </w:r>
            <w:r w:rsidRPr="001656EB">
              <w:rPr>
                <w:sz w:val="18"/>
                <w:szCs w:val="18"/>
              </w:rPr>
              <w:br/>
              <w:t>unter fließendem Wasser mit Seife waschen. Benetzte Kleidung wechseln.</w:t>
            </w:r>
          </w:p>
          <w:p w14:paraId="5F769F63" w14:textId="77777777" w:rsidR="001656EB" w:rsidRPr="001656EB" w:rsidRDefault="001656EB" w:rsidP="001656EB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1656EB">
              <w:rPr>
                <w:sz w:val="18"/>
                <w:szCs w:val="18"/>
              </w:rPr>
              <w:t xml:space="preserve">Bei Berührung mit den Augen gründlich mit Wasser spülen. </w:t>
            </w:r>
          </w:p>
          <w:p w14:paraId="64CD781F" w14:textId="67F79BEE" w:rsidR="001656EB" w:rsidRPr="001656EB" w:rsidRDefault="001656EB" w:rsidP="001656EB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1656EB">
              <w:rPr>
                <w:sz w:val="18"/>
                <w:szCs w:val="18"/>
              </w:rPr>
              <w:t>Bei Verletzung sofort Ersthelfer aufsuchen, Vorgesetzten informieren und Verbandbucheintrag</w:t>
            </w:r>
            <w:r>
              <w:rPr>
                <w:sz w:val="18"/>
                <w:szCs w:val="18"/>
              </w:rPr>
              <w:t xml:space="preserve"> </w:t>
            </w:r>
            <w:r w:rsidRPr="001656EB">
              <w:rPr>
                <w:sz w:val="18"/>
                <w:szCs w:val="18"/>
              </w:rPr>
              <w:t>vornehmen.</w:t>
            </w:r>
          </w:p>
          <w:p w14:paraId="6BC4A2D0" w14:textId="185A44FD" w:rsidR="00400BC7" w:rsidRPr="001656EB" w:rsidRDefault="001656EB" w:rsidP="001656EB">
            <w:pPr>
              <w:spacing w:before="0" w:line="220" w:lineRule="exact"/>
              <w:rPr>
                <w:sz w:val="18"/>
                <w:szCs w:val="18"/>
              </w:rPr>
            </w:pPr>
            <w:r w:rsidRPr="001656EB">
              <w:rPr>
                <w:sz w:val="18"/>
                <w:szCs w:val="18"/>
              </w:rPr>
              <w:t>Bei Bedarf Arzt aufsuchen.</w:t>
            </w:r>
          </w:p>
          <w:p w14:paraId="71A6EA0A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257AD72B" w14:textId="77777777" w:rsidTr="001656EB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0B39C2B" w14:textId="77777777" w:rsidR="00D45CA8" w:rsidRPr="00AC2984" w:rsidRDefault="00D45CA8" w:rsidP="001656EB">
            <w:pPr>
              <w:pStyle w:val="berschrift3"/>
              <w:spacing w:before="0" w:after="0"/>
            </w:pPr>
            <w:r w:rsidRPr="00AC2984">
              <w:t>Sachgerechte Entsorgung</w:t>
            </w:r>
          </w:p>
        </w:tc>
      </w:tr>
      <w:tr w:rsidR="00D45CA8" w:rsidRPr="00AC2984" w14:paraId="4443F7BD" w14:textId="77777777" w:rsidTr="001656E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0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749D5347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5290AFA5" w14:textId="346D9E24" w:rsidR="00D45CA8" w:rsidRPr="001656EB" w:rsidRDefault="001656EB" w:rsidP="001656EB">
            <w:pPr>
              <w:pStyle w:val="Aufzhlung1"/>
              <w:rPr>
                <w:sz w:val="18"/>
                <w:szCs w:val="18"/>
              </w:rPr>
            </w:pPr>
            <w:r w:rsidRPr="001656EB">
              <w:rPr>
                <w:sz w:val="18"/>
                <w:szCs w:val="18"/>
              </w:rPr>
              <w:t xml:space="preserve">Entsorgung bei kleinen Mengen nach Angaben des Herstellers. Große Menge mit Abfallschlüsselnummer (070699 Abfälle </w:t>
            </w:r>
            <w:proofErr w:type="spellStart"/>
            <w:r w:rsidRPr="001656EB">
              <w:rPr>
                <w:sz w:val="18"/>
                <w:szCs w:val="18"/>
              </w:rPr>
              <w:t>a.n.g</w:t>
            </w:r>
            <w:proofErr w:type="spellEnd"/>
            <w:r w:rsidRPr="001656EB">
              <w:rPr>
                <w:sz w:val="18"/>
                <w:szCs w:val="18"/>
              </w:rPr>
              <w:t>) über die kommunale Entsorgung.</w:t>
            </w:r>
          </w:p>
          <w:p w14:paraId="13AF39AA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7E83E459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2801"/>
    <w:multiLevelType w:val="hybridMultilevel"/>
    <w:tmpl w:val="CDEEABFE"/>
    <w:lvl w:ilvl="0" w:tplc="19CC250E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714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2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F4148"/>
    <w:multiLevelType w:val="hybridMultilevel"/>
    <w:tmpl w:val="55227316"/>
    <w:lvl w:ilvl="0" w:tplc="826C125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35D20"/>
    <w:multiLevelType w:val="hybridMultilevel"/>
    <w:tmpl w:val="C9F0930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0157A"/>
    <w:multiLevelType w:val="hybridMultilevel"/>
    <w:tmpl w:val="9E4C47AE"/>
    <w:lvl w:ilvl="0" w:tplc="56EE8368">
      <w:start w:val="1"/>
      <w:numFmt w:val="bullet"/>
      <w:lvlText w:val=""/>
      <w:lvlJc w:val="left"/>
      <w:pPr>
        <w:tabs>
          <w:tab w:val="num" w:pos="580"/>
        </w:tabs>
        <w:ind w:left="57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13796"/>
    <w:multiLevelType w:val="hybridMultilevel"/>
    <w:tmpl w:val="79F6773E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EB"/>
    <w:rsid w:val="000718AA"/>
    <w:rsid w:val="00072313"/>
    <w:rsid w:val="000915F3"/>
    <w:rsid w:val="001656EB"/>
    <w:rsid w:val="0020256F"/>
    <w:rsid w:val="002874E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C2B56"/>
  <w15:chartTrackingRefBased/>
  <w15:docId w15:val="{B0438213-5515-408D-A02E-E956CB72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1656E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65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332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2025-08-06T09:41:00Z</dcterms:created>
  <dcterms:modified xsi:type="dcterms:W3CDTF">2025-08-06T09:49:00Z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